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1F434" w14:textId="77777777" w:rsidR="00846389" w:rsidRDefault="00846389" w:rsidP="00146C86">
      <w:pPr>
        <w:spacing w:after="120" w:line="240" w:lineRule="auto"/>
        <w:jc w:val="center"/>
        <w:rPr>
          <w:rFonts w:asciiTheme="majorBidi" w:hAnsiTheme="majorBidi" w:cstheme="majorBidi"/>
          <w:b/>
          <w:bCs/>
          <w:sz w:val="28"/>
          <w:szCs w:val="28"/>
        </w:rPr>
      </w:pPr>
      <w:r w:rsidRPr="00146C86">
        <w:rPr>
          <w:rFonts w:asciiTheme="majorBidi" w:hAnsiTheme="majorBidi" w:cstheme="majorBidi"/>
          <w:b/>
          <w:bCs/>
          <w:sz w:val="28"/>
          <w:szCs w:val="28"/>
        </w:rPr>
        <w:t>Employing Partnership Approach in Streamed Language Classrooms to Improve Speaking Skill of Iranian Undergraduate EFL Learners</w:t>
      </w:r>
    </w:p>
    <w:p w14:paraId="59A23ADE" w14:textId="2F469E92" w:rsidR="00E93D2F" w:rsidRPr="00962CAD" w:rsidRDefault="00E93D2F" w:rsidP="004266DB">
      <w:pPr>
        <w:spacing w:after="0" w:line="240" w:lineRule="auto"/>
        <w:jc w:val="center"/>
        <w:rPr>
          <w:rFonts w:eastAsia="Calibri" w:cs="Times New Roman"/>
          <w:sz w:val="22"/>
        </w:rPr>
      </w:pPr>
      <w:r w:rsidRPr="00962CAD">
        <w:rPr>
          <w:rFonts w:eastAsia="Calibri" w:cs="Times New Roman"/>
          <w:sz w:val="22"/>
          <w:vertAlign w:val="superscript"/>
        </w:rPr>
        <w:footnoteReference w:id="1"/>
      </w:r>
      <w:r w:rsidRPr="00962CAD">
        <w:rPr>
          <w:rFonts w:ascii="Calibri" w:eastAsia="Calibri" w:hAnsi="Calibri" w:cs="Arial"/>
          <w:sz w:val="22"/>
        </w:rPr>
        <w:t xml:space="preserve"> </w:t>
      </w:r>
      <w:r w:rsidR="004266DB" w:rsidRPr="00962CAD">
        <w:rPr>
          <w:rFonts w:eastAsia="Calibri" w:cs="Times New Roman"/>
          <w:sz w:val="22"/>
        </w:rPr>
        <w:t>Sousan Sattar Boroujeni</w:t>
      </w:r>
    </w:p>
    <w:p w14:paraId="3FB93788" w14:textId="4A614792" w:rsidR="00E93D2F" w:rsidRPr="00962CAD" w:rsidRDefault="00E93D2F" w:rsidP="004266DB">
      <w:pPr>
        <w:spacing w:after="0" w:line="240" w:lineRule="auto"/>
        <w:jc w:val="center"/>
        <w:rPr>
          <w:rFonts w:eastAsia="Calibri" w:cs="Times New Roman"/>
          <w:sz w:val="22"/>
        </w:rPr>
      </w:pPr>
      <w:r w:rsidRPr="00962CAD">
        <w:rPr>
          <w:rFonts w:eastAsia="Calibri" w:cs="Times New Roman"/>
          <w:sz w:val="22"/>
          <w:vertAlign w:val="superscript"/>
        </w:rPr>
        <w:footnoteReference w:id="2"/>
      </w:r>
      <w:r w:rsidR="004266DB" w:rsidRPr="00962CAD">
        <w:rPr>
          <w:rFonts w:eastAsia="Calibri" w:cs="Times New Roman"/>
          <w:sz w:val="22"/>
        </w:rPr>
        <w:t>Azizeh Chalak</w:t>
      </w:r>
      <w:r w:rsidRPr="00962CAD">
        <w:rPr>
          <w:rFonts w:eastAsia="Calibri" w:cs="Times New Roman"/>
          <w:sz w:val="22"/>
        </w:rPr>
        <w:t>*</w:t>
      </w:r>
    </w:p>
    <w:p w14:paraId="3F9430ED" w14:textId="2EC4DC47" w:rsidR="00E93D2F" w:rsidRPr="00962CAD" w:rsidRDefault="002A2A8F" w:rsidP="004266DB">
      <w:pPr>
        <w:spacing w:after="0" w:line="240" w:lineRule="auto"/>
        <w:rPr>
          <w:rFonts w:eastAsia="Calibri" w:cs="Times New Roman"/>
          <w:color w:val="333333"/>
          <w:sz w:val="18"/>
          <w:szCs w:val="18"/>
          <w:shd w:val="clear" w:color="auto" w:fill="FFFFFF"/>
        </w:rPr>
      </w:pPr>
      <w:r w:rsidRPr="00962CAD">
        <w:rPr>
          <w:rFonts w:eastAsia="Calibri" w:cs="Times New Roman"/>
          <w:color w:val="333333"/>
          <w:sz w:val="18"/>
          <w:szCs w:val="18"/>
          <w:shd w:val="clear" w:color="auto" w:fill="FFFFFF"/>
        </w:rPr>
        <w:t xml:space="preserve"> </w:t>
      </w:r>
      <w:r w:rsidR="00E93D2F" w:rsidRPr="00962CAD">
        <w:rPr>
          <w:rFonts w:eastAsia="Calibri" w:cs="Times New Roman"/>
          <w:color w:val="333333"/>
          <w:sz w:val="18"/>
          <w:szCs w:val="18"/>
          <w:shd w:val="clear" w:color="auto" w:fill="FFFFFF"/>
        </w:rPr>
        <w:t xml:space="preserve">IJEAP- </w:t>
      </w:r>
      <w:r w:rsidR="00295A95">
        <w:rPr>
          <w:rFonts w:eastAsia="Calibri" w:cs="Times New Roman"/>
          <w:color w:val="333333"/>
          <w:sz w:val="18"/>
          <w:szCs w:val="18"/>
          <w:shd w:val="clear" w:color="auto" w:fill="FFFFFF"/>
        </w:rPr>
        <w:t xml:space="preserve">1810-1298 </w:t>
      </w:r>
    </w:p>
    <w:p w14:paraId="3325C9BE" w14:textId="35146FC1" w:rsidR="00E93D2F" w:rsidRPr="00E93D2F" w:rsidRDefault="00E93D2F" w:rsidP="004266DB">
      <w:pPr>
        <w:spacing w:after="0" w:line="240" w:lineRule="auto"/>
        <w:jc w:val="center"/>
        <w:rPr>
          <w:rFonts w:eastAsia="Calibri" w:cs="Times New Roman"/>
          <w:b/>
          <w:bCs/>
          <w:sz w:val="28"/>
          <w:szCs w:val="28"/>
        </w:rPr>
      </w:pPr>
      <w:r w:rsidRPr="00962CAD">
        <w:rPr>
          <w:rFonts w:eastAsia="Calibri" w:cs="Times New Roman"/>
          <w:color w:val="333333"/>
          <w:sz w:val="22"/>
          <w:shd w:val="clear" w:color="auto" w:fill="FFFFFF"/>
          <w:vertAlign w:val="superscript"/>
        </w:rPr>
        <w:footnoteReference w:id="3"/>
      </w:r>
      <w:r w:rsidRPr="00962CAD">
        <w:rPr>
          <w:rFonts w:ascii="Calibri" w:eastAsia="Calibri" w:hAnsi="Calibri" w:cs="Arial"/>
          <w:sz w:val="22"/>
        </w:rPr>
        <w:t xml:space="preserve"> </w:t>
      </w:r>
      <w:r w:rsidR="004266DB" w:rsidRPr="00962CAD">
        <w:rPr>
          <w:rFonts w:eastAsia="Calibri" w:cs="Times New Roman"/>
          <w:color w:val="333333"/>
          <w:sz w:val="22"/>
          <w:shd w:val="clear" w:color="auto" w:fill="FFFFFF"/>
        </w:rPr>
        <w:t>Hossein Heidari Tabrizi</w:t>
      </w:r>
    </w:p>
    <w:p w14:paraId="4BB9491A" w14:textId="77777777" w:rsidR="00146C86" w:rsidRPr="00146C86" w:rsidRDefault="00146C86" w:rsidP="00146C86">
      <w:pPr>
        <w:spacing w:after="0" w:line="240" w:lineRule="auto"/>
        <w:jc w:val="center"/>
        <w:rPr>
          <w:rFonts w:eastAsia="Calibri" w:cs="Times New Roman"/>
          <w:b/>
          <w:bCs/>
          <w:sz w:val="28"/>
          <w:szCs w:val="28"/>
        </w:rPr>
      </w:pPr>
    </w:p>
    <w:p w14:paraId="1E364470" w14:textId="77777777" w:rsidR="008C5F0F" w:rsidRPr="00146C86" w:rsidRDefault="00D631A4" w:rsidP="00146C86">
      <w:pPr>
        <w:spacing w:after="120" w:line="240" w:lineRule="auto"/>
        <w:rPr>
          <w:rFonts w:asciiTheme="majorBidi" w:hAnsiTheme="majorBidi" w:cstheme="majorBidi"/>
          <w:b/>
          <w:bCs/>
          <w:sz w:val="22"/>
        </w:rPr>
      </w:pPr>
      <w:r w:rsidRPr="00146C86">
        <w:rPr>
          <w:rFonts w:asciiTheme="majorBidi" w:hAnsiTheme="majorBidi" w:cstheme="majorBidi"/>
          <w:b/>
          <w:bCs/>
          <w:sz w:val="22"/>
        </w:rPr>
        <w:t>Abstract</w:t>
      </w:r>
      <w:r w:rsidR="00D26C0E" w:rsidRPr="00146C86">
        <w:rPr>
          <w:rFonts w:asciiTheme="majorBidi" w:hAnsiTheme="majorBidi" w:cstheme="majorBidi"/>
          <w:b/>
          <w:bCs/>
          <w:sz w:val="22"/>
        </w:rPr>
        <w:t xml:space="preserve"> </w:t>
      </w:r>
    </w:p>
    <w:p w14:paraId="22EC35EF" w14:textId="77777777" w:rsidR="008C7C70" w:rsidRPr="00146C86" w:rsidRDefault="00604616" w:rsidP="00146C86">
      <w:pPr>
        <w:spacing w:after="120" w:line="240" w:lineRule="auto"/>
        <w:ind w:left="115" w:right="72" w:firstLine="562"/>
        <w:jc w:val="both"/>
        <w:rPr>
          <w:rFonts w:asciiTheme="majorBidi" w:hAnsiTheme="majorBidi" w:cstheme="majorBidi"/>
          <w:sz w:val="22"/>
        </w:rPr>
      </w:pPr>
      <w:r w:rsidRPr="00146C86">
        <w:rPr>
          <w:rFonts w:asciiTheme="majorBidi" w:hAnsiTheme="majorBidi" w:cstheme="majorBidi"/>
          <w:sz w:val="22"/>
        </w:rPr>
        <w:t xml:space="preserve">Introducing effective approaches and providing equal opportunities for all language learners at any level of language knowledge to learn successfully seems to be an asset. </w:t>
      </w:r>
      <w:r w:rsidR="001E677A" w:rsidRPr="00146C86">
        <w:rPr>
          <w:rFonts w:asciiTheme="majorBidi" w:hAnsiTheme="majorBidi" w:cstheme="majorBidi"/>
          <w:sz w:val="22"/>
        </w:rPr>
        <w:t>I</w:t>
      </w:r>
      <w:r w:rsidR="00BA42F2" w:rsidRPr="00146C86">
        <w:rPr>
          <w:rFonts w:asciiTheme="majorBidi" w:hAnsiTheme="majorBidi" w:cstheme="majorBidi"/>
          <w:sz w:val="22"/>
        </w:rPr>
        <w:t>n th</w:t>
      </w:r>
      <w:r w:rsidR="007E7164" w:rsidRPr="00146C86">
        <w:rPr>
          <w:rFonts w:asciiTheme="majorBidi" w:hAnsiTheme="majorBidi" w:cstheme="majorBidi"/>
          <w:sz w:val="22"/>
        </w:rPr>
        <w:t xml:space="preserve">is </w:t>
      </w:r>
      <w:r w:rsidR="00BA42F2" w:rsidRPr="00146C86">
        <w:rPr>
          <w:rFonts w:asciiTheme="majorBidi" w:hAnsiTheme="majorBidi" w:cstheme="majorBidi"/>
          <w:sz w:val="22"/>
        </w:rPr>
        <w:t>study, the role of employing Partnership Approach</w:t>
      </w:r>
      <w:r w:rsidR="00F62D6E" w:rsidRPr="00146C86">
        <w:rPr>
          <w:rFonts w:asciiTheme="majorBidi" w:hAnsiTheme="majorBidi" w:cstheme="majorBidi"/>
          <w:sz w:val="22"/>
        </w:rPr>
        <w:t xml:space="preserve"> (PA)</w:t>
      </w:r>
      <w:r w:rsidR="00BA42F2" w:rsidRPr="00146C86">
        <w:rPr>
          <w:rFonts w:asciiTheme="majorBidi" w:hAnsiTheme="majorBidi" w:cstheme="majorBidi"/>
          <w:sz w:val="22"/>
        </w:rPr>
        <w:t xml:space="preserve"> to teach speaking to undergraduate EFL students through Streaming/Homogeneous</w:t>
      </w:r>
      <w:r w:rsidRPr="00146C86">
        <w:rPr>
          <w:rFonts w:asciiTheme="majorBidi" w:hAnsiTheme="majorBidi" w:cstheme="majorBidi"/>
          <w:sz w:val="22"/>
        </w:rPr>
        <w:t>-G</w:t>
      </w:r>
      <w:r w:rsidR="00F84548" w:rsidRPr="00146C86">
        <w:rPr>
          <w:rFonts w:asciiTheme="majorBidi" w:hAnsiTheme="majorBidi" w:cstheme="majorBidi"/>
          <w:sz w:val="22"/>
        </w:rPr>
        <w:t>rouping</w:t>
      </w:r>
      <w:r w:rsidR="00BA42F2" w:rsidRPr="00146C86">
        <w:rPr>
          <w:rFonts w:asciiTheme="majorBidi" w:hAnsiTheme="majorBidi" w:cstheme="majorBidi"/>
          <w:sz w:val="22"/>
        </w:rPr>
        <w:t xml:space="preserve"> of the learners in Mixed-Ability classrooms</w:t>
      </w:r>
      <w:r w:rsidR="007E7164" w:rsidRPr="00146C86">
        <w:rPr>
          <w:rFonts w:asciiTheme="majorBidi" w:hAnsiTheme="majorBidi" w:cstheme="majorBidi"/>
          <w:sz w:val="22"/>
        </w:rPr>
        <w:t xml:space="preserve"> was examined</w:t>
      </w:r>
      <w:r w:rsidR="00BA42F2" w:rsidRPr="00146C86">
        <w:rPr>
          <w:rFonts w:asciiTheme="majorBidi" w:hAnsiTheme="majorBidi" w:cstheme="majorBidi"/>
          <w:sz w:val="22"/>
        </w:rPr>
        <w:t xml:space="preserve">. </w:t>
      </w:r>
      <w:r w:rsidR="001E677A" w:rsidRPr="00146C86">
        <w:rPr>
          <w:rFonts w:asciiTheme="majorBidi" w:hAnsiTheme="majorBidi" w:cstheme="majorBidi"/>
          <w:sz w:val="22"/>
        </w:rPr>
        <w:t xml:space="preserve">A quasi-experimental research method was employed and </w:t>
      </w:r>
      <w:r w:rsidR="00F84548" w:rsidRPr="00146C86">
        <w:rPr>
          <w:rFonts w:asciiTheme="majorBidi" w:hAnsiTheme="majorBidi" w:cstheme="majorBidi"/>
          <w:sz w:val="22"/>
        </w:rPr>
        <w:t>72</w:t>
      </w:r>
      <w:r w:rsidR="003422EC" w:rsidRPr="00146C86">
        <w:rPr>
          <w:rFonts w:asciiTheme="majorBidi" w:hAnsiTheme="majorBidi" w:cstheme="majorBidi"/>
          <w:sz w:val="22"/>
        </w:rPr>
        <w:t xml:space="preserve"> </w:t>
      </w:r>
      <w:r w:rsidR="00F62D6E" w:rsidRPr="00146C86">
        <w:rPr>
          <w:rFonts w:asciiTheme="majorBidi" w:hAnsiTheme="majorBidi" w:cstheme="majorBidi"/>
          <w:sz w:val="22"/>
        </w:rPr>
        <w:t xml:space="preserve">Iranian male and </w:t>
      </w:r>
      <w:r w:rsidRPr="00146C86">
        <w:rPr>
          <w:rFonts w:asciiTheme="majorBidi" w:hAnsiTheme="majorBidi" w:cstheme="majorBidi"/>
          <w:sz w:val="22"/>
        </w:rPr>
        <w:t xml:space="preserve">female </w:t>
      </w:r>
      <w:r w:rsidR="00D838DA" w:rsidRPr="00146C86">
        <w:rPr>
          <w:rFonts w:asciiTheme="majorBidi" w:hAnsiTheme="majorBidi" w:cstheme="majorBidi"/>
          <w:sz w:val="22"/>
        </w:rPr>
        <w:t>undergraduate</w:t>
      </w:r>
      <w:r w:rsidRPr="00146C86">
        <w:rPr>
          <w:rFonts w:asciiTheme="majorBidi" w:hAnsiTheme="majorBidi" w:cstheme="majorBidi"/>
          <w:sz w:val="22"/>
        </w:rPr>
        <w:t xml:space="preserve"> </w:t>
      </w:r>
      <w:r w:rsidR="003422EC" w:rsidRPr="00146C86">
        <w:rPr>
          <w:rFonts w:asciiTheme="majorBidi" w:hAnsiTheme="majorBidi" w:cstheme="majorBidi"/>
          <w:sz w:val="22"/>
        </w:rPr>
        <w:t xml:space="preserve">students </w:t>
      </w:r>
      <w:r w:rsidR="00AF01EC" w:rsidRPr="00146C86">
        <w:rPr>
          <w:rFonts w:asciiTheme="majorBidi" w:hAnsiTheme="majorBidi" w:cstheme="majorBidi"/>
          <w:sz w:val="22"/>
        </w:rPr>
        <w:t xml:space="preserve">majoring in TEFL </w:t>
      </w:r>
      <w:r w:rsidRPr="00146C86">
        <w:rPr>
          <w:rFonts w:asciiTheme="majorBidi" w:hAnsiTheme="majorBidi" w:cstheme="majorBidi"/>
          <w:sz w:val="22"/>
        </w:rPr>
        <w:t>whose ages ranged from 19-24 participated in</w:t>
      </w:r>
      <w:r w:rsidR="003422EC" w:rsidRPr="00146C86">
        <w:rPr>
          <w:rFonts w:asciiTheme="majorBidi" w:hAnsiTheme="majorBidi" w:cstheme="majorBidi"/>
          <w:sz w:val="22"/>
        </w:rPr>
        <w:t xml:space="preserve"> the study.</w:t>
      </w:r>
      <w:r w:rsidRPr="00146C86">
        <w:rPr>
          <w:rFonts w:asciiTheme="majorBidi" w:hAnsiTheme="majorBidi" w:cstheme="majorBidi"/>
          <w:sz w:val="22"/>
        </w:rPr>
        <w:t xml:space="preserve"> </w:t>
      </w:r>
      <w:r w:rsidR="00F62D6E" w:rsidRPr="00146C86">
        <w:rPr>
          <w:rFonts w:asciiTheme="majorBidi" w:hAnsiTheme="majorBidi" w:cstheme="majorBidi"/>
          <w:sz w:val="22"/>
        </w:rPr>
        <w:t>The study</w:t>
      </w:r>
      <w:r w:rsidR="00214E6A" w:rsidRPr="00146C86">
        <w:rPr>
          <w:rFonts w:asciiTheme="majorBidi" w:hAnsiTheme="majorBidi" w:cstheme="majorBidi"/>
          <w:sz w:val="22"/>
        </w:rPr>
        <w:t xml:space="preserve"> comprised three experimental</w:t>
      </w:r>
      <w:r w:rsidRPr="00146C86">
        <w:rPr>
          <w:rFonts w:asciiTheme="majorBidi" w:hAnsiTheme="majorBidi" w:cstheme="majorBidi"/>
          <w:sz w:val="22"/>
        </w:rPr>
        <w:t xml:space="preserve"> </w:t>
      </w:r>
      <w:r w:rsidR="00214E6A" w:rsidRPr="00146C86">
        <w:rPr>
          <w:rFonts w:asciiTheme="majorBidi" w:hAnsiTheme="majorBidi" w:cstheme="majorBidi"/>
          <w:sz w:val="22"/>
        </w:rPr>
        <w:t>and three control groups</w:t>
      </w:r>
      <w:r w:rsidR="00AF01EC" w:rsidRPr="00146C86">
        <w:rPr>
          <w:rFonts w:asciiTheme="majorBidi" w:hAnsiTheme="majorBidi" w:cstheme="majorBidi"/>
          <w:sz w:val="22"/>
        </w:rPr>
        <w:t xml:space="preserve"> in high, low, and mixed language-ability levels</w:t>
      </w:r>
      <w:r w:rsidR="00B84281" w:rsidRPr="00146C86">
        <w:rPr>
          <w:rFonts w:asciiTheme="majorBidi" w:hAnsiTheme="majorBidi" w:cstheme="majorBidi"/>
          <w:sz w:val="22"/>
        </w:rPr>
        <w:t xml:space="preserve"> based on the results of an Oxford </w:t>
      </w:r>
      <w:r w:rsidR="00AF01EC" w:rsidRPr="00146C86">
        <w:rPr>
          <w:rFonts w:asciiTheme="majorBidi" w:hAnsiTheme="majorBidi" w:cstheme="majorBidi"/>
          <w:sz w:val="22"/>
        </w:rPr>
        <w:t xml:space="preserve">Quick </w:t>
      </w:r>
      <w:r w:rsidR="00B84281" w:rsidRPr="00146C86">
        <w:rPr>
          <w:rFonts w:asciiTheme="majorBidi" w:hAnsiTheme="majorBidi" w:cstheme="majorBidi"/>
          <w:sz w:val="22"/>
        </w:rPr>
        <w:t>Placement Test</w:t>
      </w:r>
      <w:r w:rsidR="00AF01EC" w:rsidRPr="00146C86">
        <w:rPr>
          <w:rFonts w:asciiTheme="majorBidi" w:hAnsiTheme="majorBidi" w:cstheme="majorBidi"/>
          <w:sz w:val="22"/>
        </w:rPr>
        <w:t xml:space="preserve"> (OQPT)</w:t>
      </w:r>
      <w:r w:rsidR="00B84281" w:rsidRPr="00146C86">
        <w:rPr>
          <w:rFonts w:asciiTheme="majorBidi" w:hAnsiTheme="majorBidi" w:cstheme="majorBidi"/>
          <w:sz w:val="22"/>
        </w:rPr>
        <w:t xml:space="preserve"> so that there were 12 students in each group.</w:t>
      </w:r>
      <w:r w:rsidR="003422EC" w:rsidRPr="00146C86">
        <w:rPr>
          <w:rFonts w:asciiTheme="majorBidi" w:hAnsiTheme="majorBidi" w:cstheme="majorBidi"/>
          <w:sz w:val="22"/>
        </w:rPr>
        <w:t xml:space="preserve"> </w:t>
      </w:r>
      <w:r w:rsidR="00D26F75" w:rsidRPr="00146C86">
        <w:rPr>
          <w:rFonts w:asciiTheme="majorBidi" w:hAnsiTheme="majorBidi" w:cstheme="majorBidi"/>
          <w:sz w:val="22"/>
        </w:rPr>
        <w:t xml:space="preserve">The findings indicated that </w:t>
      </w:r>
      <w:r w:rsidR="00DC5168" w:rsidRPr="00146C86">
        <w:rPr>
          <w:rFonts w:asciiTheme="majorBidi" w:hAnsiTheme="majorBidi" w:cstheme="majorBidi"/>
          <w:sz w:val="22"/>
        </w:rPr>
        <w:t>among</w:t>
      </w:r>
      <w:r w:rsidR="001956D7" w:rsidRPr="00146C86">
        <w:rPr>
          <w:rFonts w:asciiTheme="majorBidi" w:hAnsiTheme="majorBidi" w:cstheme="majorBidi"/>
          <w:sz w:val="22"/>
        </w:rPr>
        <w:t xml:space="preserve"> the streamed experimental groups, low-ability students did not significantly develop their speaking ability</w:t>
      </w:r>
      <w:r w:rsidR="009C3749" w:rsidRPr="00146C86">
        <w:rPr>
          <w:rFonts w:asciiTheme="majorBidi" w:hAnsiTheme="majorBidi" w:cstheme="majorBidi"/>
          <w:sz w:val="22"/>
        </w:rPr>
        <w:t>.</w:t>
      </w:r>
      <w:r w:rsidR="001956D7" w:rsidRPr="00146C86">
        <w:rPr>
          <w:rFonts w:asciiTheme="majorBidi" w:hAnsiTheme="majorBidi" w:cstheme="majorBidi"/>
          <w:sz w:val="22"/>
        </w:rPr>
        <w:t xml:space="preserve"> </w:t>
      </w:r>
      <w:r w:rsidR="009C3749" w:rsidRPr="00146C86">
        <w:rPr>
          <w:rFonts w:asciiTheme="majorBidi" w:hAnsiTheme="majorBidi" w:cstheme="majorBidi"/>
          <w:sz w:val="22"/>
        </w:rPr>
        <w:t>On</w:t>
      </w:r>
      <w:r w:rsidR="001956D7" w:rsidRPr="00146C86">
        <w:rPr>
          <w:rFonts w:asciiTheme="majorBidi" w:hAnsiTheme="majorBidi" w:cstheme="majorBidi"/>
          <w:sz w:val="22"/>
        </w:rPr>
        <w:t xml:space="preserve"> the contrary, </w:t>
      </w:r>
      <w:r w:rsidR="00F84548" w:rsidRPr="00146C86">
        <w:rPr>
          <w:rFonts w:asciiTheme="majorBidi" w:hAnsiTheme="majorBidi" w:cstheme="majorBidi"/>
          <w:sz w:val="22"/>
        </w:rPr>
        <w:t>low</w:t>
      </w:r>
      <w:r w:rsidR="001956D7" w:rsidRPr="00146C86">
        <w:rPr>
          <w:rFonts w:asciiTheme="majorBidi" w:hAnsiTheme="majorBidi" w:cstheme="majorBidi"/>
          <w:sz w:val="22"/>
        </w:rPr>
        <w:t xml:space="preserve">-ability </w:t>
      </w:r>
      <w:r w:rsidR="00F84548" w:rsidRPr="00146C86">
        <w:rPr>
          <w:rFonts w:asciiTheme="majorBidi" w:hAnsiTheme="majorBidi" w:cstheme="majorBidi"/>
          <w:sz w:val="22"/>
        </w:rPr>
        <w:t xml:space="preserve">students benefited from the mixed-ability </w:t>
      </w:r>
      <w:r w:rsidR="001956D7" w:rsidRPr="00146C86">
        <w:rPr>
          <w:rFonts w:asciiTheme="majorBidi" w:hAnsiTheme="majorBidi" w:cstheme="majorBidi"/>
          <w:sz w:val="22"/>
        </w:rPr>
        <w:t>teaching more</w:t>
      </w:r>
      <w:r w:rsidR="00F84548" w:rsidRPr="00146C86">
        <w:rPr>
          <w:rFonts w:asciiTheme="majorBidi" w:hAnsiTheme="majorBidi" w:cstheme="majorBidi"/>
          <w:sz w:val="22"/>
        </w:rPr>
        <w:t xml:space="preserve"> than the other students</w:t>
      </w:r>
      <w:r w:rsidRPr="00146C86">
        <w:rPr>
          <w:rFonts w:asciiTheme="majorBidi" w:hAnsiTheme="majorBidi" w:cstheme="majorBidi"/>
          <w:sz w:val="22"/>
        </w:rPr>
        <w:t xml:space="preserve"> both in the control and </w:t>
      </w:r>
      <w:r w:rsidR="00AF01EC" w:rsidRPr="00146C86">
        <w:rPr>
          <w:rFonts w:asciiTheme="majorBidi" w:hAnsiTheme="majorBidi" w:cstheme="majorBidi"/>
          <w:sz w:val="22"/>
        </w:rPr>
        <w:t xml:space="preserve">the </w:t>
      </w:r>
      <w:r w:rsidRPr="00146C86">
        <w:rPr>
          <w:rFonts w:asciiTheme="majorBidi" w:hAnsiTheme="majorBidi" w:cstheme="majorBidi"/>
          <w:sz w:val="22"/>
        </w:rPr>
        <w:t>experimental groups</w:t>
      </w:r>
      <w:r w:rsidR="001956D7" w:rsidRPr="00146C86">
        <w:rPr>
          <w:rFonts w:asciiTheme="majorBidi" w:hAnsiTheme="majorBidi" w:cstheme="majorBidi"/>
          <w:sz w:val="22"/>
        </w:rPr>
        <w:t xml:space="preserve">. </w:t>
      </w:r>
      <w:r w:rsidR="00025364" w:rsidRPr="00146C86">
        <w:rPr>
          <w:rFonts w:asciiTheme="majorBidi" w:hAnsiTheme="majorBidi" w:cstheme="majorBidi"/>
          <w:sz w:val="22"/>
        </w:rPr>
        <w:t xml:space="preserve">Mixed-ability and high-ability students </w:t>
      </w:r>
      <w:r w:rsidR="00B84281" w:rsidRPr="00146C86">
        <w:rPr>
          <w:rFonts w:asciiTheme="majorBidi" w:hAnsiTheme="majorBidi" w:cstheme="majorBidi"/>
          <w:sz w:val="22"/>
        </w:rPr>
        <w:t xml:space="preserve">in the experimental group </w:t>
      </w:r>
      <w:r w:rsidR="00025364" w:rsidRPr="00146C86">
        <w:rPr>
          <w:rFonts w:asciiTheme="majorBidi" w:hAnsiTheme="majorBidi" w:cstheme="majorBidi"/>
          <w:sz w:val="22"/>
        </w:rPr>
        <w:t xml:space="preserve">significantly outperformed their counterparts in the control group. </w:t>
      </w:r>
      <w:r w:rsidR="00214E6A" w:rsidRPr="00146C86">
        <w:rPr>
          <w:rFonts w:asciiTheme="majorBidi" w:hAnsiTheme="majorBidi" w:cstheme="majorBidi"/>
          <w:sz w:val="22"/>
        </w:rPr>
        <w:t>Low-ability</w:t>
      </w:r>
      <w:r w:rsidR="00025364" w:rsidRPr="00146C86">
        <w:rPr>
          <w:rFonts w:asciiTheme="majorBidi" w:hAnsiTheme="majorBidi" w:cstheme="majorBidi"/>
          <w:sz w:val="22"/>
        </w:rPr>
        <w:t xml:space="preserve"> students in the control group outperformed their counterparts in the </w:t>
      </w:r>
      <w:r w:rsidR="007E7164" w:rsidRPr="00146C86">
        <w:rPr>
          <w:rFonts w:asciiTheme="majorBidi" w:hAnsiTheme="majorBidi" w:cstheme="majorBidi"/>
          <w:sz w:val="22"/>
        </w:rPr>
        <w:t>experimental</w:t>
      </w:r>
      <w:r w:rsidR="00025364" w:rsidRPr="00146C86">
        <w:rPr>
          <w:rFonts w:asciiTheme="majorBidi" w:hAnsiTheme="majorBidi" w:cstheme="majorBidi"/>
          <w:sz w:val="22"/>
        </w:rPr>
        <w:t xml:space="preserve"> group.</w:t>
      </w:r>
      <w:r w:rsidR="001956D7" w:rsidRPr="00146C86">
        <w:rPr>
          <w:rFonts w:asciiTheme="majorBidi" w:hAnsiTheme="majorBidi" w:cstheme="majorBidi"/>
          <w:sz w:val="22"/>
        </w:rPr>
        <w:t xml:space="preserve"> </w:t>
      </w:r>
      <w:r w:rsidR="00BA42F2" w:rsidRPr="00146C86">
        <w:rPr>
          <w:rFonts w:asciiTheme="majorBidi" w:hAnsiTheme="majorBidi" w:cstheme="majorBidi"/>
          <w:sz w:val="22"/>
        </w:rPr>
        <w:t xml:space="preserve">This study has the potential to develop new insights and ideas which can be adapted by both </w:t>
      </w:r>
      <w:r w:rsidR="00243C8A" w:rsidRPr="00146C86">
        <w:rPr>
          <w:rFonts w:asciiTheme="majorBidi" w:hAnsiTheme="majorBidi" w:cstheme="majorBidi"/>
          <w:sz w:val="22"/>
        </w:rPr>
        <w:t xml:space="preserve">EFL </w:t>
      </w:r>
      <w:r w:rsidR="00BA42F2" w:rsidRPr="00146C86">
        <w:rPr>
          <w:rFonts w:asciiTheme="majorBidi" w:hAnsiTheme="majorBidi" w:cstheme="majorBidi"/>
          <w:sz w:val="22"/>
        </w:rPr>
        <w:t xml:space="preserve">teachers and students in different </w:t>
      </w:r>
      <w:r w:rsidR="00F62D6E" w:rsidRPr="00146C86">
        <w:rPr>
          <w:rFonts w:asciiTheme="majorBidi" w:hAnsiTheme="majorBidi" w:cstheme="majorBidi"/>
          <w:sz w:val="22"/>
        </w:rPr>
        <w:t>educational</w:t>
      </w:r>
      <w:r w:rsidR="008233C1" w:rsidRPr="00146C86">
        <w:rPr>
          <w:rFonts w:asciiTheme="majorBidi" w:hAnsiTheme="majorBidi" w:cstheme="majorBidi"/>
          <w:sz w:val="22"/>
        </w:rPr>
        <w:t xml:space="preserve"> s</w:t>
      </w:r>
      <w:r w:rsidR="00F62D6E" w:rsidRPr="00146C86">
        <w:rPr>
          <w:rFonts w:asciiTheme="majorBidi" w:hAnsiTheme="majorBidi" w:cstheme="majorBidi"/>
          <w:sz w:val="22"/>
        </w:rPr>
        <w:t>ettings</w:t>
      </w:r>
      <w:r w:rsidR="008233C1" w:rsidRPr="00146C86">
        <w:rPr>
          <w:rFonts w:asciiTheme="majorBidi" w:hAnsiTheme="majorBidi" w:cstheme="majorBidi"/>
          <w:sz w:val="22"/>
        </w:rPr>
        <w:t>.</w:t>
      </w:r>
      <w:r w:rsidR="008C7C70" w:rsidRPr="00146C86">
        <w:rPr>
          <w:rFonts w:asciiTheme="majorBidi" w:hAnsiTheme="majorBidi" w:cstheme="majorBidi"/>
          <w:sz w:val="22"/>
        </w:rPr>
        <w:t xml:space="preserve"> The processes and outcomes of the study can be adapted for use in other disciplines to examine the effect of ability grouping and partnership on the individuals’ overall success. </w:t>
      </w:r>
    </w:p>
    <w:p w14:paraId="5ADDE2F8" w14:textId="77777777" w:rsidR="008C5F0F" w:rsidRDefault="00BA42F2" w:rsidP="009935CB">
      <w:pPr>
        <w:pStyle w:val="NoSpacing"/>
        <w:rPr>
          <w:rFonts w:asciiTheme="majorBidi" w:hAnsiTheme="majorBidi" w:cstheme="majorBidi"/>
          <w:sz w:val="22"/>
        </w:rPr>
      </w:pPr>
      <w:r w:rsidRPr="00146C86">
        <w:rPr>
          <w:rFonts w:asciiTheme="majorBidi" w:hAnsiTheme="majorBidi" w:cstheme="majorBidi"/>
          <w:b/>
          <w:bCs/>
          <w:i/>
          <w:iCs/>
          <w:sz w:val="22"/>
        </w:rPr>
        <w:t>Keywords</w:t>
      </w:r>
      <w:r w:rsidR="008C5F0F" w:rsidRPr="00146C86">
        <w:rPr>
          <w:rFonts w:asciiTheme="majorBidi" w:hAnsiTheme="majorBidi" w:cstheme="majorBidi"/>
          <w:b/>
          <w:bCs/>
          <w:i/>
          <w:iCs/>
          <w:sz w:val="22"/>
        </w:rPr>
        <w:t>:</w:t>
      </w:r>
      <w:r w:rsidR="00420618" w:rsidRPr="000458CF">
        <w:rPr>
          <w:sz w:val="22"/>
        </w:rPr>
        <w:t xml:space="preserve"> </w:t>
      </w:r>
      <w:r w:rsidR="00420618" w:rsidRPr="00146C86">
        <w:rPr>
          <w:rFonts w:asciiTheme="majorBidi" w:hAnsiTheme="majorBidi" w:cstheme="majorBidi"/>
          <w:sz w:val="22"/>
        </w:rPr>
        <w:t>Engagement,</w:t>
      </w:r>
      <w:r w:rsidRPr="00146C86">
        <w:rPr>
          <w:rFonts w:asciiTheme="majorBidi" w:hAnsiTheme="majorBidi" w:cstheme="majorBidi"/>
          <w:sz w:val="22"/>
        </w:rPr>
        <w:t xml:space="preserve"> Mi</w:t>
      </w:r>
      <w:r w:rsidR="00420618" w:rsidRPr="00146C86">
        <w:rPr>
          <w:rFonts w:asciiTheme="majorBidi" w:hAnsiTheme="majorBidi" w:cstheme="majorBidi"/>
          <w:sz w:val="22"/>
        </w:rPr>
        <w:t>xed-Ability Language Classrooms, Partnership Approach,</w:t>
      </w:r>
      <w:r w:rsidRPr="00146C86">
        <w:rPr>
          <w:rFonts w:asciiTheme="majorBidi" w:hAnsiTheme="majorBidi" w:cstheme="majorBidi"/>
          <w:sz w:val="22"/>
        </w:rPr>
        <w:t xml:space="preserve"> Streamed Language Classrooms</w:t>
      </w:r>
    </w:p>
    <w:p w14:paraId="0D59396F" w14:textId="77777777" w:rsidR="002A4940" w:rsidRPr="00146C86" w:rsidRDefault="002A4940" w:rsidP="00146C86">
      <w:pPr>
        <w:spacing w:after="120" w:line="240" w:lineRule="auto"/>
        <w:jc w:val="both"/>
        <w:rPr>
          <w:rFonts w:asciiTheme="majorBidi" w:hAnsiTheme="majorBidi" w:cstheme="majorBidi"/>
          <w:b/>
          <w:bCs/>
          <w:sz w:val="22"/>
        </w:rPr>
      </w:pPr>
      <w:r w:rsidRPr="00146C86">
        <w:rPr>
          <w:rFonts w:asciiTheme="majorBidi" w:hAnsiTheme="majorBidi" w:cstheme="majorBidi"/>
          <w:b/>
          <w:bCs/>
          <w:sz w:val="22"/>
        </w:rPr>
        <w:t>1. Introduction</w:t>
      </w:r>
    </w:p>
    <w:p w14:paraId="32FD1C09" w14:textId="77777777" w:rsidR="00CD0359" w:rsidRPr="000458CF" w:rsidRDefault="00390CB6" w:rsidP="00E93D2F">
      <w:pPr>
        <w:spacing w:after="120" w:line="240" w:lineRule="auto"/>
        <w:ind w:left="115" w:right="72"/>
        <w:jc w:val="both"/>
        <w:rPr>
          <w:rFonts w:eastAsia="Calibri" w:cs="Times New Roman"/>
          <w:sz w:val="22"/>
          <w:lang w:bidi="fa-IR"/>
        </w:rPr>
      </w:pPr>
      <w:r w:rsidRPr="000458CF">
        <w:rPr>
          <w:rFonts w:eastAsia="Calibri" w:cs="Times New Roman"/>
          <w:sz w:val="22"/>
        </w:rPr>
        <w:t xml:space="preserve">One of the most controversial issues in education, particularly for undergraduate students at </w:t>
      </w:r>
      <w:r w:rsidR="00304730" w:rsidRPr="000458CF">
        <w:rPr>
          <w:rFonts w:eastAsia="Calibri" w:cs="Times New Roman"/>
          <w:sz w:val="22"/>
        </w:rPr>
        <w:t xml:space="preserve">the </w:t>
      </w:r>
      <w:r w:rsidRPr="000458CF">
        <w:rPr>
          <w:rFonts w:eastAsia="Calibri" w:cs="Times New Roman"/>
          <w:sz w:val="22"/>
        </w:rPr>
        <w:t xml:space="preserve">university level has </w:t>
      </w:r>
      <w:r w:rsidR="008F392F" w:rsidRPr="000458CF">
        <w:rPr>
          <w:rFonts w:eastAsia="Calibri" w:cs="Times New Roman"/>
          <w:sz w:val="22"/>
        </w:rPr>
        <w:t xml:space="preserve">long </w:t>
      </w:r>
      <w:r w:rsidRPr="000458CF">
        <w:rPr>
          <w:rFonts w:eastAsia="Calibri" w:cs="Times New Roman"/>
          <w:sz w:val="22"/>
        </w:rPr>
        <w:t>been teaching and learning a foreign language. Hence, in order to make language learning and teaching more interesting and promote EFL</w:t>
      </w:r>
      <w:r w:rsidR="00ED78F4" w:rsidRPr="000458CF">
        <w:rPr>
          <w:rFonts w:eastAsia="Calibri" w:cs="Times New Roman"/>
          <w:sz w:val="22"/>
        </w:rPr>
        <w:t xml:space="preserve"> learners'</w:t>
      </w:r>
      <w:r w:rsidRPr="000458CF">
        <w:rPr>
          <w:rFonts w:eastAsia="Calibri" w:cs="Times New Roman"/>
          <w:sz w:val="22"/>
        </w:rPr>
        <w:t xml:space="preserve"> achievements, language teachers and researchers have been encouraged to investigate </w:t>
      </w:r>
      <w:r w:rsidRPr="000458CF">
        <w:rPr>
          <w:rFonts w:eastAsia="Calibri" w:cs="Times New Roman"/>
          <w:sz w:val="22"/>
          <w:lang w:bidi="fa-IR"/>
        </w:rPr>
        <w:t xml:space="preserve">new </w:t>
      </w:r>
      <w:r w:rsidR="00A272EF" w:rsidRPr="000458CF">
        <w:rPr>
          <w:rFonts w:eastAsia="Calibri" w:cs="Times New Roman"/>
          <w:sz w:val="22"/>
          <w:lang w:bidi="fa-IR"/>
        </w:rPr>
        <w:t xml:space="preserve">approaches, </w:t>
      </w:r>
      <w:r w:rsidRPr="000458CF">
        <w:rPr>
          <w:rFonts w:eastAsia="Calibri" w:cs="Times New Roman"/>
          <w:sz w:val="22"/>
          <w:lang w:bidi="fa-IR"/>
        </w:rPr>
        <w:t>teaching methods</w:t>
      </w:r>
      <w:r w:rsidR="005B71A7" w:rsidRPr="000458CF">
        <w:rPr>
          <w:rFonts w:eastAsia="Calibri" w:cs="Times New Roman"/>
          <w:sz w:val="22"/>
          <w:lang w:bidi="fa-IR"/>
        </w:rPr>
        <w:t>,</w:t>
      </w:r>
      <w:r w:rsidRPr="000458CF">
        <w:rPr>
          <w:rFonts w:eastAsia="Calibri" w:cs="Times New Roman"/>
          <w:sz w:val="22"/>
          <w:lang w:bidi="fa-IR"/>
        </w:rPr>
        <w:t xml:space="preserve"> and educational techniques.</w:t>
      </w:r>
      <w:r w:rsidR="00531EE3" w:rsidRPr="000458CF">
        <w:rPr>
          <w:rFonts w:eastAsia="Calibri" w:cs="Times New Roman"/>
          <w:sz w:val="22"/>
          <w:lang w:bidi="fa-IR"/>
        </w:rPr>
        <w:t xml:space="preserve"> </w:t>
      </w:r>
      <w:r w:rsidR="00CD0359" w:rsidRPr="000458CF">
        <w:rPr>
          <w:rFonts w:eastAsia="Calibri" w:cs="Times New Roman"/>
          <w:sz w:val="22"/>
          <w:lang w:bidi="fa-IR"/>
        </w:rPr>
        <w:t>As an innovative approach to engaging students in enhancing teaching and learning, P</w:t>
      </w:r>
      <w:r w:rsidR="008A3155" w:rsidRPr="000458CF">
        <w:rPr>
          <w:rFonts w:eastAsia="Calibri" w:cs="Times New Roman"/>
          <w:sz w:val="22"/>
          <w:lang w:bidi="fa-IR"/>
        </w:rPr>
        <w:t xml:space="preserve">artnership </w:t>
      </w:r>
      <w:r w:rsidR="00CD0359" w:rsidRPr="000458CF">
        <w:rPr>
          <w:rFonts w:eastAsia="Calibri" w:cs="Times New Roman"/>
          <w:sz w:val="22"/>
          <w:lang w:bidi="fa-IR"/>
        </w:rPr>
        <w:t>A</w:t>
      </w:r>
      <w:r w:rsidR="008A3155" w:rsidRPr="000458CF">
        <w:rPr>
          <w:rFonts w:eastAsia="Calibri" w:cs="Times New Roman"/>
          <w:sz w:val="22"/>
          <w:lang w:bidi="fa-IR"/>
        </w:rPr>
        <w:t>pproach (PA)</w:t>
      </w:r>
      <w:r w:rsidR="00CD0359" w:rsidRPr="000458CF">
        <w:rPr>
          <w:rFonts w:eastAsia="Calibri" w:cs="Times New Roman"/>
          <w:sz w:val="22"/>
          <w:lang w:bidi="fa-IR"/>
        </w:rPr>
        <w:t xml:space="preserve"> gives the learners opportunities to experience new ways of thinking, working together, and learning. Students learn to take responsibility for their learning, </w:t>
      </w:r>
      <w:r w:rsidR="00CD0359" w:rsidRPr="000458CF">
        <w:rPr>
          <w:rFonts w:eastAsia="Calibri" w:cs="Times New Roman"/>
          <w:sz w:val="22"/>
          <w:lang w:bidi="fa-IR"/>
        </w:rPr>
        <w:lastRenderedPageBreak/>
        <w:t>improve ethic, and develop a more positive attitude towards learning (Healy, Flint, &amp; Harrington, 2014).</w:t>
      </w:r>
    </w:p>
    <w:p w14:paraId="33294E67" w14:textId="77777777" w:rsidR="00E06D23" w:rsidRPr="000458CF" w:rsidRDefault="00531EE3" w:rsidP="00146C86">
      <w:pPr>
        <w:spacing w:after="120" w:line="240" w:lineRule="auto"/>
        <w:ind w:left="115" w:right="72" w:firstLine="562"/>
        <w:jc w:val="both"/>
        <w:rPr>
          <w:rFonts w:eastAsia="Calibri" w:cs="Times New Roman"/>
          <w:b/>
          <w:bCs/>
          <w:sz w:val="22"/>
          <w:lang w:bidi="fa-IR"/>
        </w:rPr>
      </w:pPr>
      <w:r w:rsidRPr="000458CF">
        <w:rPr>
          <w:rFonts w:eastAsia="Calibri" w:cs="Times New Roman"/>
          <w:sz w:val="22"/>
        </w:rPr>
        <w:t>Heterogeneity</w:t>
      </w:r>
      <w:r w:rsidR="004B150C" w:rsidRPr="000458CF">
        <w:rPr>
          <w:rFonts w:eastAsia="Calibri" w:cs="Times New Roman"/>
          <w:sz w:val="22"/>
        </w:rPr>
        <w:t xml:space="preserve"> is a</w:t>
      </w:r>
      <w:r w:rsidR="00DA3F20" w:rsidRPr="000458CF">
        <w:rPr>
          <w:rFonts w:eastAsia="Calibri" w:cs="Times New Roman"/>
          <w:sz w:val="22"/>
        </w:rPr>
        <w:t>n inevitable issue</w:t>
      </w:r>
      <w:r w:rsidR="004B150C" w:rsidRPr="000458CF">
        <w:rPr>
          <w:rFonts w:eastAsia="Calibri" w:cs="Times New Roman"/>
          <w:sz w:val="22"/>
        </w:rPr>
        <w:t xml:space="preserve"> that</w:t>
      </w:r>
      <w:r w:rsidR="00D07274">
        <w:rPr>
          <w:rFonts w:eastAsia="Calibri" w:cs="Times New Roman"/>
          <w:sz w:val="22"/>
        </w:rPr>
        <w:t xml:space="preserve"> Iranian</w:t>
      </w:r>
      <w:r w:rsidR="004B150C" w:rsidRPr="000458CF">
        <w:rPr>
          <w:rFonts w:eastAsia="Calibri" w:cs="Times New Roman"/>
          <w:sz w:val="22"/>
        </w:rPr>
        <w:t xml:space="preserve"> English teachers encounter in most</w:t>
      </w:r>
      <w:r w:rsidR="00ED78F4" w:rsidRPr="000458CF">
        <w:rPr>
          <w:rFonts w:eastAsia="Calibri" w:cs="Times New Roman"/>
          <w:sz w:val="22"/>
        </w:rPr>
        <w:t xml:space="preserve"> of the</w:t>
      </w:r>
      <w:r w:rsidR="00D07274">
        <w:rPr>
          <w:rFonts w:eastAsia="Calibri" w:cs="Times New Roman"/>
          <w:sz w:val="22"/>
        </w:rPr>
        <w:t>ir</w:t>
      </w:r>
      <w:r w:rsidR="004B150C" w:rsidRPr="000458CF">
        <w:rPr>
          <w:rFonts w:eastAsia="Calibri" w:cs="Times New Roman"/>
          <w:sz w:val="22"/>
        </w:rPr>
        <w:t xml:space="preserve"> classrooms</w:t>
      </w:r>
      <w:r w:rsidR="00503712" w:rsidRPr="000458CF">
        <w:rPr>
          <w:rFonts w:eastAsia="Calibri" w:cs="Times New Roman"/>
          <w:sz w:val="22"/>
        </w:rPr>
        <w:t>.</w:t>
      </w:r>
      <w:r w:rsidR="00DA3F20" w:rsidRPr="000458CF">
        <w:rPr>
          <w:rFonts w:eastAsia="Calibri" w:cs="Times New Roman"/>
          <w:sz w:val="22"/>
        </w:rPr>
        <w:t xml:space="preserve"> </w:t>
      </w:r>
      <w:r w:rsidR="00503712" w:rsidRPr="000458CF">
        <w:rPr>
          <w:rFonts w:eastAsia="Calibri" w:cs="Times New Roman"/>
          <w:sz w:val="22"/>
        </w:rPr>
        <w:t>They</w:t>
      </w:r>
      <w:r w:rsidR="00DA3F20" w:rsidRPr="000458CF">
        <w:rPr>
          <w:rFonts w:eastAsia="Calibri" w:cs="Times New Roman"/>
          <w:sz w:val="22"/>
        </w:rPr>
        <w:t xml:space="preserve"> </w:t>
      </w:r>
      <w:r w:rsidR="004B150C" w:rsidRPr="000458CF">
        <w:rPr>
          <w:rFonts w:eastAsia="Calibri" w:cs="Times New Roman"/>
          <w:sz w:val="22"/>
        </w:rPr>
        <w:t>wonder how to cater to</w:t>
      </w:r>
      <w:r w:rsidR="00CA731B" w:rsidRPr="000458CF">
        <w:rPr>
          <w:rFonts w:eastAsia="Calibri" w:cs="Times New Roman"/>
          <w:sz w:val="22"/>
        </w:rPr>
        <w:t xml:space="preserve"> the</w:t>
      </w:r>
      <w:r w:rsidR="004B150C" w:rsidRPr="000458CF">
        <w:rPr>
          <w:rFonts w:eastAsia="Calibri" w:cs="Times New Roman"/>
          <w:sz w:val="22"/>
        </w:rPr>
        <w:t xml:space="preserve"> different ability level</w:t>
      </w:r>
      <w:r w:rsidR="00ED78F4" w:rsidRPr="000458CF">
        <w:rPr>
          <w:rFonts w:eastAsia="Calibri" w:cs="Times New Roman"/>
          <w:sz w:val="22"/>
        </w:rPr>
        <w:t>s</w:t>
      </w:r>
      <w:r w:rsidR="004B150C" w:rsidRPr="000458CF">
        <w:rPr>
          <w:rFonts w:eastAsia="Calibri" w:cs="Times New Roman"/>
          <w:sz w:val="22"/>
        </w:rPr>
        <w:t xml:space="preserve"> of their students regarding their English proficiency levels.</w:t>
      </w:r>
      <w:r w:rsidR="00315982" w:rsidRPr="000458CF">
        <w:rPr>
          <w:rFonts w:eastAsia="Calibri" w:cs="Times New Roman"/>
          <w:sz w:val="22"/>
        </w:rPr>
        <w:t xml:space="preserve"> </w:t>
      </w:r>
      <w:r w:rsidR="00A272EF" w:rsidRPr="000458CF">
        <w:rPr>
          <w:rFonts w:asciiTheme="majorBidi" w:hAnsiTheme="majorBidi" w:cstheme="majorBidi"/>
          <w:sz w:val="22"/>
        </w:rPr>
        <w:t xml:space="preserve">In this relation, </w:t>
      </w:r>
      <w:r w:rsidR="00A272EF" w:rsidRPr="000458CF">
        <w:rPr>
          <w:rFonts w:eastAsia="Calibri" w:cs="Times New Roman"/>
          <w:sz w:val="22"/>
        </w:rPr>
        <w:t>the</w:t>
      </w:r>
      <w:r w:rsidR="004B150C" w:rsidRPr="000458CF">
        <w:rPr>
          <w:rFonts w:eastAsia="Calibri" w:cs="Times New Roman"/>
          <w:sz w:val="22"/>
        </w:rPr>
        <w:t xml:space="preserve"> students’ prior English backgrounds and experiences, </w:t>
      </w:r>
      <w:r w:rsidR="008F392F" w:rsidRPr="000458CF">
        <w:rPr>
          <w:rFonts w:eastAsia="Calibri" w:cs="Times New Roman"/>
          <w:sz w:val="22"/>
        </w:rPr>
        <w:t>b</w:t>
      </w:r>
      <w:r w:rsidR="00151610" w:rsidRPr="000458CF">
        <w:rPr>
          <w:rFonts w:eastAsia="Calibri" w:cs="Times New Roman"/>
          <w:sz w:val="22"/>
        </w:rPr>
        <w:t>eginning to learn English at different ages, u</w:t>
      </w:r>
      <w:r w:rsidR="004B150C" w:rsidRPr="000458CF">
        <w:rPr>
          <w:rFonts w:eastAsia="Calibri" w:cs="Times New Roman"/>
          <w:sz w:val="22"/>
        </w:rPr>
        <w:t xml:space="preserve">nequal motivation to learn among EFL learners, different family backgrounds, </w:t>
      </w:r>
      <w:r w:rsidR="003003A7" w:rsidRPr="000458CF">
        <w:rPr>
          <w:rFonts w:eastAsia="Calibri" w:cs="Times New Roman"/>
          <w:sz w:val="22"/>
        </w:rPr>
        <w:t xml:space="preserve">the </w:t>
      </w:r>
      <w:r w:rsidR="00151610" w:rsidRPr="000458CF">
        <w:rPr>
          <w:rFonts w:eastAsia="Calibri" w:cs="Times New Roman"/>
          <w:sz w:val="22"/>
        </w:rPr>
        <w:t>variety</w:t>
      </w:r>
      <w:r w:rsidR="004B150C" w:rsidRPr="000458CF">
        <w:rPr>
          <w:rFonts w:eastAsia="Calibri" w:cs="Times New Roman"/>
          <w:sz w:val="22"/>
        </w:rPr>
        <w:t xml:space="preserve"> of English teaching programs at schools, and some flaws in </w:t>
      </w:r>
      <w:r w:rsidR="00A272EF" w:rsidRPr="000458CF">
        <w:rPr>
          <w:rFonts w:eastAsia="Calibri" w:cs="Times New Roman"/>
          <w:sz w:val="22"/>
        </w:rPr>
        <w:t xml:space="preserve">the </w:t>
      </w:r>
      <w:r w:rsidR="004B150C" w:rsidRPr="000458CF">
        <w:rPr>
          <w:rFonts w:eastAsia="Calibri" w:cs="Times New Roman"/>
          <w:sz w:val="22"/>
        </w:rPr>
        <w:t>university entrance exams are among the factors which contribute to the issue.</w:t>
      </w:r>
      <w:r w:rsidR="00D91A3A" w:rsidRPr="000458CF">
        <w:rPr>
          <w:rFonts w:eastAsia="Calibri" w:cs="Times New Roman"/>
          <w:sz w:val="22"/>
        </w:rPr>
        <w:t xml:space="preserve"> </w:t>
      </w:r>
      <w:r w:rsidR="004B150C" w:rsidRPr="000458CF">
        <w:rPr>
          <w:rFonts w:eastAsia="Calibri" w:cs="Times New Roman"/>
          <w:sz w:val="22"/>
          <w:lang w:bidi="fa-IR"/>
        </w:rPr>
        <w:t>This is why,</w:t>
      </w:r>
      <w:r w:rsidR="00D91A3A" w:rsidRPr="000458CF">
        <w:rPr>
          <w:rFonts w:eastAsia="Calibri" w:cs="Times New Roman"/>
          <w:sz w:val="22"/>
          <w:lang w:bidi="fa-IR"/>
        </w:rPr>
        <w:t xml:space="preserve"> </w:t>
      </w:r>
      <w:r w:rsidR="004B150C" w:rsidRPr="000458CF">
        <w:rPr>
          <w:rFonts w:eastAsia="Calibri" w:cs="Times New Roman"/>
          <w:sz w:val="22"/>
          <w:lang w:bidi="fa-IR"/>
        </w:rPr>
        <w:t xml:space="preserve">even </w:t>
      </w:r>
      <w:r w:rsidR="00390CB6" w:rsidRPr="000458CF">
        <w:rPr>
          <w:rFonts w:eastAsia="Calibri" w:cs="Times New Roman"/>
          <w:sz w:val="22"/>
          <w:lang w:bidi="fa-IR"/>
        </w:rPr>
        <w:t>in the same learning condition, learners do not achieve the same level of language proficiency</w:t>
      </w:r>
      <w:r w:rsidR="00517578" w:rsidRPr="000458CF">
        <w:rPr>
          <w:rFonts w:eastAsia="Calibri" w:cs="Times New Roman"/>
          <w:sz w:val="22"/>
        </w:rPr>
        <w:t xml:space="preserve"> </w:t>
      </w:r>
      <w:r w:rsidR="00E06D23" w:rsidRPr="000458CF">
        <w:rPr>
          <w:rFonts w:eastAsia="Calibri" w:cs="Times New Roman"/>
          <w:sz w:val="22"/>
        </w:rPr>
        <w:t>(Zafar &amp; Meenakshi, 2012).</w:t>
      </w:r>
      <w:r w:rsidR="00E06D23" w:rsidRPr="000458CF">
        <w:rPr>
          <w:rFonts w:eastAsia="Calibri" w:cs="Times New Roman"/>
          <w:b/>
          <w:bCs/>
          <w:sz w:val="22"/>
        </w:rPr>
        <w:t xml:space="preserve"> </w:t>
      </w:r>
    </w:p>
    <w:p w14:paraId="52B183AF" w14:textId="77777777" w:rsidR="006C0A43" w:rsidRPr="000458CF" w:rsidRDefault="00315982" w:rsidP="00146C86">
      <w:pPr>
        <w:spacing w:after="120" w:line="240" w:lineRule="auto"/>
        <w:ind w:left="115" w:right="72" w:firstLine="562"/>
        <w:jc w:val="both"/>
        <w:rPr>
          <w:rFonts w:asciiTheme="majorBidi" w:hAnsiTheme="majorBidi" w:cstheme="majorBidi"/>
          <w:sz w:val="22"/>
        </w:rPr>
      </w:pPr>
      <w:r w:rsidRPr="000458CF">
        <w:rPr>
          <w:rFonts w:eastAsia="Calibri" w:cs="Times New Roman"/>
          <w:sz w:val="22"/>
        </w:rPr>
        <w:t xml:space="preserve">In </w:t>
      </w:r>
      <w:r w:rsidR="00503712" w:rsidRPr="000458CF">
        <w:rPr>
          <w:rFonts w:eastAsia="Calibri" w:cs="Times New Roman"/>
          <w:sz w:val="22"/>
        </w:rPr>
        <w:t>m</w:t>
      </w:r>
      <w:r w:rsidRPr="000458CF">
        <w:rPr>
          <w:rFonts w:eastAsia="Calibri" w:cs="Times New Roman"/>
          <w:sz w:val="22"/>
        </w:rPr>
        <w:t>ixed-</w:t>
      </w:r>
      <w:r w:rsidR="00503712" w:rsidRPr="000458CF">
        <w:rPr>
          <w:rFonts w:eastAsia="Calibri" w:cs="Times New Roman"/>
          <w:sz w:val="22"/>
        </w:rPr>
        <w:t>a</w:t>
      </w:r>
      <w:r w:rsidRPr="000458CF">
        <w:rPr>
          <w:rFonts w:eastAsia="Calibri" w:cs="Times New Roman"/>
          <w:sz w:val="22"/>
        </w:rPr>
        <w:t xml:space="preserve">bility classes, it is difficult for the teacher to keep the attention of all the students at the same time. Some students participate in classroom activities while some others are totally indifferent. Weak students are usually left behind, </w:t>
      </w:r>
      <w:r w:rsidR="00B94027" w:rsidRPr="000458CF">
        <w:rPr>
          <w:rFonts w:eastAsia="Calibri" w:cs="Times New Roman"/>
          <w:sz w:val="22"/>
        </w:rPr>
        <w:t xml:space="preserve">feel disappointed, </w:t>
      </w:r>
      <w:r w:rsidRPr="000458CF">
        <w:rPr>
          <w:rFonts w:eastAsia="Calibri" w:cs="Times New Roman"/>
          <w:sz w:val="22"/>
        </w:rPr>
        <w:t xml:space="preserve">and prefer to stay away. More knowledgeable students, on the other hand, lose motivation and get bored of being exposed to easy materials or waiting for the weak students to catch up. In speaking classes, in particular, students have to orally perform in front of others and it doubles the problem for those students who are at </w:t>
      </w:r>
      <w:r w:rsidR="009935CB" w:rsidRPr="000458CF">
        <w:rPr>
          <w:rFonts w:eastAsia="Calibri" w:cs="Times New Roman"/>
          <w:sz w:val="22"/>
        </w:rPr>
        <w:t xml:space="preserve">the </w:t>
      </w:r>
      <w:r w:rsidRPr="000458CF">
        <w:rPr>
          <w:rFonts w:eastAsia="Calibri" w:cs="Times New Roman"/>
          <w:sz w:val="22"/>
        </w:rPr>
        <w:t xml:space="preserve">lower levels of language abilities. </w:t>
      </w:r>
      <w:r w:rsidR="00855F4E" w:rsidRPr="000458CF">
        <w:rPr>
          <w:rFonts w:eastAsia="Calibri" w:cs="Times New Roman"/>
          <w:sz w:val="22"/>
        </w:rPr>
        <w:t>Furthermore, in</w:t>
      </w:r>
      <w:r w:rsidR="005B6B03" w:rsidRPr="000458CF">
        <w:rPr>
          <w:rFonts w:eastAsia="Calibri" w:cs="Times New Roman"/>
          <w:sz w:val="22"/>
        </w:rPr>
        <w:t xml:space="preserve"> most</w:t>
      </w:r>
      <w:r w:rsidR="007446E1" w:rsidRPr="000458CF">
        <w:rPr>
          <w:rFonts w:eastAsia="Calibri" w:cs="Times New Roman"/>
          <w:sz w:val="22"/>
        </w:rPr>
        <w:t xml:space="preserve"> of the</w:t>
      </w:r>
      <w:r w:rsidR="006C0A43" w:rsidRPr="000458CF">
        <w:rPr>
          <w:rFonts w:eastAsia="Calibri" w:cs="Times New Roman"/>
          <w:sz w:val="22"/>
        </w:rPr>
        <w:t xml:space="preserve"> classrooms</w:t>
      </w:r>
      <w:r w:rsidR="001F333F" w:rsidRPr="000458CF">
        <w:rPr>
          <w:rFonts w:eastAsia="Calibri" w:cs="Times New Roman"/>
          <w:sz w:val="22"/>
        </w:rPr>
        <w:t xml:space="preserve"> in Iranian universities</w:t>
      </w:r>
      <w:r w:rsidR="00487F71" w:rsidRPr="000458CF">
        <w:rPr>
          <w:rFonts w:eastAsia="Calibri" w:cs="Times New Roman"/>
          <w:sz w:val="22"/>
        </w:rPr>
        <w:t>,</w:t>
      </w:r>
      <w:r w:rsidR="006C0A43" w:rsidRPr="000458CF">
        <w:rPr>
          <w:rFonts w:eastAsia="Calibri" w:cs="Times New Roman"/>
          <w:sz w:val="22"/>
        </w:rPr>
        <w:t xml:space="preserve"> teachers exhibit leadership in different ways. They are the main providers of information who teach based on their experience and academic background</w:t>
      </w:r>
      <w:r w:rsidR="007446E1" w:rsidRPr="000458CF">
        <w:rPr>
          <w:rFonts w:eastAsia="Calibri" w:cs="Times New Roman"/>
          <w:sz w:val="22"/>
        </w:rPr>
        <w:t>,</w:t>
      </w:r>
      <w:r w:rsidR="006C0A43" w:rsidRPr="000458CF">
        <w:rPr>
          <w:rFonts w:eastAsia="Calibri" w:cs="Times New Roman"/>
          <w:sz w:val="22"/>
        </w:rPr>
        <w:t xml:space="preserve"> using the same modules for all the students </w:t>
      </w:r>
      <w:r w:rsidR="008A3155" w:rsidRPr="000458CF">
        <w:rPr>
          <w:rFonts w:eastAsia="Calibri" w:cs="Times New Roman"/>
          <w:sz w:val="22"/>
        </w:rPr>
        <w:t xml:space="preserve">in the same class </w:t>
      </w:r>
      <w:r w:rsidR="006C0A43" w:rsidRPr="000458CF">
        <w:rPr>
          <w:rFonts w:eastAsia="Calibri" w:cs="Times New Roman"/>
          <w:sz w:val="22"/>
        </w:rPr>
        <w:t>regardless of thei</w:t>
      </w:r>
      <w:r w:rsidR="00855F4E" w:rsidRPr="000458CF">
        <w:rPr>
          <w:rFonts w:eastAsia="Calibri" w:cs="Times New Roman"/>
          <w:sz w:val="22"/>
        </w:rPr>
        <w:t>r different language abilities. The</w:t>
      </w:r>
      <w:r w:rsidR="006C0A43" w:rsidRPr="000458CF">
        <w:rPr>
          <w:rFonts w:eastAsia="Calibri" w:cs="Times New Roman"/>
          <w:sz w:val="22"/>
        </w:rPr>
        <w:t xml:space="preserve"> learners are mostly the mere recipients of the information dictated to them and learn the content matter th</w:t>
      </w:r>
      <w:r w:rsidR="004D692C" w:rsidRPr="000458CF">
        <w:rPr>
          <w:rFonts w:eastAsia="Calibri" w:cs="Times New Roman"/>
          <w:sz w:val="22"/>
        </w:rPr>
        <w:t>at has been planned in advance (</w:t>
      </w:r>
      <w:r w:rsidR="004D692C" w:rsidRPr="000458CF">
        <w:rPr>
          <w:color w:val="222222"/>
          <w:sz w:val="22"/>
        </w:rPr>
        <w:t>Mkandawire, Maulidi</w:t>
      </w:r>
      <w:r w:rsidR="00654867" w:rsidRPr="000458CF">
        <w:rPr>
          <w:color w:val="222222"/>
          <w:sz w:val="22"/>
        </w:rPr>
        <w:t xml:space="preserve">, Sitima, &amp; Luo, </w:t>
      </w:r>
      <w:r w:rsidR="004D692C" w:rsidRPr="000458CF">
        <w:rPr>
          <w:color w:val="222222"/>
          <w:sz w:val="22"/>
        </w:rPr>
        <w:t>2018).</w:t>
      </w:r>
    </w:p>
    <w:p w14:paraId="7F15A83D" w14:textId="77777777" w:rsidR="00420618" w:rsidRPr="000458CF" w:rsidRDefault="0094089B" w:rsidP="00146C86">
      <w:pPr>
        <w:spacing w:after="120" w:line="240" w:lineRule="auto"/>
        <w:ind w:left="115" w:right="72" w:firstLine="562"/>
        <w:jc w:val="both"/>
        <w:rPr>
          <w:rFonts w:eastAsia="Calibri" w:cs="Times New Roman"/>
          <w:sz w:val="22"/>
        </w:rPr>
      </w:pPr>
      <w:r w:rsidRPr="000458CF">
        <w:rPr>
          <w:rFonts w:eastAsia="Calibri" w:cs="Times New Roman"/>
          <w:sz w:val="22"/>
        </w:rPr>
        <w:t>The</w:t>
      </w:r>
      <w:r w:rsidR="00420618" w:rsidRPr="000458CF">
        <w:rPr>
          <w:rFonts w:eastAsia="Calibri" w:cs="Times New Roman"/>
          <w:sz w:val="22"/>
        </w:rPr>
        <w:t xml:space="preserve"> present study focused on </w:t>
      </w:r>
      <w:r w:rsidR="00503712" w:rsidRPr="000458CF">
        <w:rPr>
          <w:rFonts w:eastAsia="Calibri" w:cs="Times New Roman"/>
          <w:sz w:val="22"/>
        </w:rPr>
        <w:t xml:space="preserve">the </w:t>
      </w:r>
      <w:r w:rsidR="00D07274">
        <w:rPr>
          <w:rFonts w:eastAsia="Calibri" w:cs="Times New Roman"/>
          <w:sz w:val="22"/>
        </w:rPr>
        <w:t>PA</w:t>
      </w:r>
      <w:r w:rsidR="00420618" w:rsidRPr="000458CF">
        <w:rPr>
          <w:rFonts w:eastAsia="Calibri" w:cs="Times New Roman"/>
          <w:sz w:val="22"/>
        </w:rPr>
        <w:t xml:space="preserve"> in learning, teaching, and assessment in the E</w:t>
      </w:r>
      <w:r w:rsidR="00CD0359" w:rsidRPr="000458CF">
        <w:rPr>
          <w:rFonts w:eastAsia="Calibri" w:cs="Times New Roman"/>
          <w:sz w:val="22"/>
        </w:rPr>
        <w:t>FL context in higher education. Research</w:t>
      </w:r>
      <w:r w:rsidR="00420618" w:rsidRPr="000458CF">
        <w:rPr>
          <w:rFonts w:eastAsia="Calibri" w:cs="Times New Roman"/>
          <w:sz w:val="22"/>
        </w:rPr>
        <w:t xml:space="preserve"> studies examining </w:t>
      </w:r>
      <w:r w:rsidR="006004DD" w:rsidRPr="000458CF">
        <w:rPr>
          <w:rFonts w:eastAsia="Calibri" w:cs="Times New Roman"/>
          <w:sz w:val="22"/>
        </w:rPr>
        <w:t>S</w:t>
      </w:r>
      <w:r w:rsidR="00420618" w:rsidRPr="000458CF">
        <w:rPr>
          <w:rFonts w:eastAsia="Calibri" w:cs="Times New Roman"/>
          <w:sz w:val="22"/>
        </w:rPr>
        <w:t>tudent</w:t>
      </w:r>
      <w:r w:rsidR="006004DD" w:rsidRPr="000458CF">
        <w:rPr>
          <w:rFonts w:eastAsia="Calibri" w:cs="Times New Roman"/>
          <w:sz w:val="22"/>
        </w:rPr>
        <w:t>s</w:t>
      </w:r>
      <w:r w:rsidR="00420618" w:rsidRPr="000458CF">
        <w:rPr>
          <w:rFonts w:eastAsia="Calibri" w:cs="Times New Roman"/>
          <w:sz w:val="22"/>
        </w:rPr>
        <w:t>-as-</w:t>
      </w:r>
      <w:r w:rsidR="006004DD" w:rsidRPr="000458CF">
        <w:rPr>
          <w:rFonts w:eastAsia="Calibri" w:cs="Times New Roman"/>
          <w:sz w:val="22"/>
        </w:rPr>
        <w:t>P</w:t>
      </w:r>
      <w:r w:rsidR="00420618" w:rsidRPr="000458CF">
        <w:rPr>
          <w:rFonts w:eastAsia="Calibri" w:cs="Times New Roman"/>
          <w:sz w:val="22"/>
        </w:rPr>
        <w:t>artner</w:t>
      </w:r>
      <w:r w:rsidR="006004DD" w:rsidRPr="000458CF">
        <w:rPr>
          <w:rFonts w:eastAsia="Calibri" w:cs="Times New Roman"/>
          <w:sz w:val="22"/>
        </w:rPr>
        <w:t>s</w:t>
      </w:r>
      <w:r w:rsidR="00420618" w:rsidRPr="000458CF">
        <w:rPr>
          <w:rFonts w:eastAsia="Calibri" w:cs="Times New Roman"/>
          <w:sz w:val="22"/>
        </w:rPr>
        <w:t xml:space="preserve"> pedagogies have traditionally been qualitative in nature with a special focus on the students and teache</w:t>
      </w:r>
      <w:r w:rsidR="00503712" w:rsidRPr="000458CF">
        <w:rPr>
          <w:rFonts w:eastAsia="Calibri" w:cs="Times New Roman"/>
          <w:sz w:val="22"/>
        </w:rPr>
        <w:t>rs’ experiences</w:t>
      </w:r>
      <w:r w:rsidR="00CD0359" w:rsidRPr="000458CF">
        <w:rPr>
          <w:rFonts w:eastAsia="Calibri" w:cs="Times New Roman"/>
          <w:sz w:val="22"/>
        </w:rPr>
        <w:t xml:space="preserve"> (Cooper, 2014)</w:t>
      </w:r>
      <w:r w:rsidR="00503712" w:rsidRPr="000458CF">
        <w:rPr>
          <w:rFonts w:eastAsia="Calibri" w:cs="Times New Roman"/>
          <w:sz w:val="22"/>
        </w:rPr>
        <w:t>. However, in this</w:t>
      </w:r>
      <w:r w:rsidR="00420618" w:rsidRPr="000458CF">
        <w:rPr>
          <w:rFonts w:eastAsia="Calibri" w:cs="Times New Roman"/>
          <w:sz w:val="22"/>
        </w:rPr>
        <w:t xml:space="preserve"> study, it has been tried to collect quantifiable information in order to claim more confidently about the role of implementing </w:t>
      </w:r>
      <w:r w:rsidR="00503712" w:rsidRPr="000458CF">
        <w:rPr>
          <w:rFonts w:eastAsia="Calibri" w:cs="Times New Roman"/>
          <w:sz w:val="22"/>
        </w:rPr>
        <w:t xml:space="preserve">the </w:t>
      </w:r>
      <w:r w:rsidR="001F333F" w:rsidRPr="000458CF">
        <w:rPr>
          <w:rFonts w:eastAsia="Calibri" w:cs="Times New Roman"/>
          <w:sz w:val="22"/>
        </w:rPr>
        <w:t>PA</w:t>
      </w:r>
      <w:r w:rsidR="00420618" w:rsidRPr="000458CF">
        <w:rPr>
          <w:rFonts w:eastAsia="Calibri" w:cs="Times New Roman"/>
          <w:sz w:val="22"/>
        </w:rPr>
        <w:t xml:space="preserve"> in EFL classroom</w:t>
      </w:r>
      <w:r w:rsidR="009935CB" w:rsidRPr="000458CF">
        <w:rPr>
          <w:rFonts w:eastAsia="Calibri" w:cs="Times New Roman"/>
          <w:sz w:val="22"/>
        </w:rPr>
        <w:t>s</w:t>
      </w:r>
      <w:r w:rsidR="00420618" w:rsidRPr="000458CF">
        <w:rPr>
          <w:rFonts w:eastAsia="Calibri" w:cs="Times New Roman"/>
          <w:sz w:val="22"/>
        </w:rPr>
        <w:t xml:space="preserve">, </w:t>
      </w:r>
      <w:r w:rsidR="007B6680" w:rsidRPr="000458CF">
        <w:rPr>
          <w:rFonts w:eastAsia="Calibri" w:cs="Times New Roman"/>
          <w:sz w:val="22"/>
        </w:rPr>
        <w:t>and provide</w:t>
      </w:r>
      <w:r w:rsidR="00420618" w:rsidRPr="000458CF">
        <w:rPr>
          <w:rFonts w:eastAsia="Calibri" w:cs="Times New Roman"/>
          <w:sz w:val="22"/>
        </w:rPr>
        <w:t xml:space="preserve"> evidence of </w:t>
      </w:r>
      <w:r w:rsidR="007B6680" w:rsidRPr="000458CF">
        <w:rPr>
          <w:rFonts w:eastAsia="Calibri" w:cs="Times New Roman"/>
          <w:sz w:val="22"/>
        </w:rPr>
        <w:t>its possible impact</w:t>
      </w:r>
      <w:r w:rsidR="00420618" w:rsidRPr="000458CF">
        <w:rPr>
          <w:rFonts w:eastAsia="Calibri" w:cs="Times New Roman"/>
          <w:sz w:val="22"/>
        </w:rPr>
        <w:t xml:space="preserve"> on </w:t>
      </w:r>
      <w:r w:rsidR="007B6680" w:rsidRPr="000458CF">
        <w:rPr>
          <w:rFonts w:eastAsia="Calibri" w:cs="Times New Roman"/>
          <w:sz w:val="22"/>
        </w:rPr>
        <w:t>the learners</w:t>
      </w:r>
      <w:r w:rsidR="00420618" w:rsidRPr="000458CF">
        <w:rPr>
          <w:rFonts w:eastAsia="Calibri" w:cs="Times New Roman"/>
          <w:sz w:val="22"/>
        </w:rPr>
        <w:t xml:space="preserve">’ </w:t>
      </w:r>
      <w:r w:rsidR="007B6680" w:rsidRPr="000458CF">
        <w:rPr>
          <w:rFonts w:eastAsia="Calibri" w:cs="Times New Roman"/>
          <w:sz w:val="22"/>
        </w:rPr>
        <w:t>achievements</w:t>
      </w:r>
      <w:r w:rsidR="00420618" w:rsidRPr="000458CF">
        <w:rPr>
          <w:rFonts w:eastAsia="Calibri" w:cs="Times New Roman"/>
          <w:sz w:val="22"/>
        </w:rPr>
        <w:t xml:space="preserve">, both in streamed and mixed-ability classes, and offer implications for teaching and learning practices within </w:t>
      </w:r>
      <w:r w:rsidR="007B6680" w:rsidRPr="000458CF">
        <w:rPr>
          <w:rFonts w:eastAsia="Calibri" w:cs="Times New Roman"/>
          <w:sz w:val="22"/>
        </w:rPr>
        <w:t xml:space="preserve">the </w:t>
      </w:r>
      <w:r w:rsidR="00420618" w:rsidRPr="000458CF">
        <w:rPr>
          <w:rFonts w:eastAsia="Calibri" w:cs="Times New Roman"/>
          <w:sz w:val="22"/>
        </w:rPr>
        <w:t>higher education.</w:t>
      </w:r>
    </w:p>
    <w:p w14:paraId="7CE419ED" w14:textId="77777777" w:rsidR="001A6AEB" w:rsidRPr="00146C86" w:rsidRDefault="002A4940" w:rsidP="00146C86">
      <w:pPr>
        <w:spacing w:after="120" w:line="240" w:lineRule="auto"/>
        <w:jc w:val="both"/>
        <w:rPr>
          <w:rFonts w:asciiTheme="majorBidi" w:hAnsiTheme="majorBidi" w:cstheme="majorBidi"/>
          <w:b/>
          <w:bCs/>
          <w:sz w:val="22"/>
        </w:rPr>
      </w:pPr>
      <w:r w:rsidRPr="00146C86">
        <w:rPr>
          <w:rFonts w:asciiTheme="majorBidi" w:hAnsiTheme="majorBidi" w:cstheme="majorBidi"/>
          <w:b/>
          <w:bCs/>
          <w:sz w:val="22"/>
        </w:rPr>
        <w:t>2. Literature Review</w:t>
      </w:r>
    </w:p>
    <w:p w14:paraId="55C39D58" w14:textId="77777777" w:rsidR="0092369B" w:rsidRPr="00E93D2F" w:rsidRDefault="00E93D2F" w:rsidP="00E93D2F">
      <w:pPr>
        <w:autoSpaceDE w:val="0"/>
        <w:autoSpaceDN w:val="0"/>
        <w:adjustRightInd w:val="0"/>
        <w:spacing w:after="120" w:line="240" w:lineRule="auto"/>
        <w:jc w:val="both"/>
        <w:rPr>
          <w:rFonts w:asciiTheme="majorBidi" w:hAnsiTheme="majorBidi" w:cstheme="majorBidi"/>
          <w:i/>
          <w:iCs/>
          <w:sz w:val="22"/>
        </w:rPr>
      </w:pPr>
      <w:r>
        <w:rPr>
          <w:rFonts w:asciiTheme="majorBidi" w:hAnsiTheme="majorBidi" w:cstheme="majorBidi"/>
          <w:i/>
          <w:iCs/>
          <w:sz w:val="22"/>
        </w:rPr>
        <w:t>2.</w:t>
      </w:r>
      <w:r w:rsidR="0092369B" w:rsidRPr="00E93D2F">
        <w:rPr>
          <w:rFonts w:asciiTheme="majorBidi" w:hAnsiTheme="majorBidi" w:cstheme="majorBidi"/>
          <w:i/>
          <w:iCs/>
          <w:sz w:val="22"/>
        </w:rPr>
        <w:t>1. Theoretical Background</w:t>
      </w:r>
    </w:p>
    <w:p w14:paraId="4C7829BC" w14:textId="77777777" w:rsidR="00BF5146" w:rsidRPr="007602DC" w:rsidRDefault="00CF63DB" w:rsidP="00E93D2F">
      <w:pPr>
        <w:spacing w:after="120" w:line="240" w:lineRule="auto"/>
        <w:ind w:left="115" w:right="72"/>
        <w:jc w:val="both"/>
        <w:rPr>
          <w:rFonts w:asciiTheme="majorBidi" w:eastAsia="Times New Roman" w:hAnsiTheme="majorBidi" w:cstheme="majorBidi"/>
          <w:sz w:val="22"/>
        </w:rPr>
      </w:pPr>
      <w:r w:rsidRPr="007602DC">
        <w:rPr>
          <w:rFonts w:asciiTheme="majorBidi" w:hAnsiTheme="majorBidi" w:cstheme="majorBidi"/>
          <w:sz w:val="22"/>
        </w:rPr>
        <w:t xml:space="preserve">Swain's (1985) Output Hypothesis proposes that second language acquisition is more likely to occur through language production stages when the language learner realizes the gap between what s/he knows or can say and what s/he does not know or cannot say in the target language. </w:t>
      </w:r>
      <w:r w:rsidR="00E865FA" w:rsidRPr="007602DC">
        <w:rPr>
          <w:rFonts w:asciiTheme="majorBidi" w:hAnsiTheme="majorBidi" w:cstheme="majorBidi"/>
          <w:sz w:val="22"/>
        </w:rPr>
        <w:t>The idea behind students’ engagement and their active participation in their own learning is reflecting on the experience of learning by doing (Healey, Solem &amp; Pawson, 2010). In his t</w:t>
      </w:r>
      <w:r w:rsidR="004672CA" w:rsidRPr="007602DC">
        <w:rPr>
          <w:rFonts w:asciiTheme="majorBidi" w:hAnsiTheme="majorBidi" w:cstheme="majorBidi"/>
          <w:sz w:val="22"/>
        </w:rPr>
        <w:t>heory of experiential learning,</w:t>
      </w:r>
      <w:r w:rsidR="00E865FA" w:rsidRPr="007602DC">
        <w:rPr>
          <w:rFonts w:asciiTheme="majorBidi" w:hAnsiTheme="majorBidi" w:cstheme="majorBidi"/>
          <w:sz w:val="22"/>
        </w:rPr>
        <w:t xml:space="preserve"> Kolb</w:t>
      </w:r>
      <w:r w:rsidR="00B3125D" w:rsidRPr="007602DC">
        <w:rPr>
          <w:rFonts w:asciiTheme="majorBidi" w:hAnsiTheme="majorBidi" w:cstheme="majorBidi"/>
          <w:sz w:val="22"/>
        </w:rPr>
        <w:t xml:space="preserve"> (1984)</w:t>
      </w:r>
      <w:r w:rsidR="00E865FA" w:rsidRPr="007602DC">
        <w:rPr>
          <w:rFonts w:asciiTheme="majorBidi" w:hAnsiTheme="majorBidi" w:cstheme="majorBidi"/>
          <w:sz w:val="22"/>
        </w:rPr>
        <w:t xml:space="preserve"> presents a model in which the curriculum is structured and sequenced at program and module levels.</w:t>
      </w:r>
      <w:r w:rsidR="008C309C" w:rsidRPr="007602DC">
        <w:rPr>
          <w:rFonts w:asciiTheme="majorBidi" w:eastAsia="Times New Roman" w:hAnsiTheme="majorBidi" w:cstheme="majorBidi"/>
          <w:sz w:val="22"/>
        </w:rPr>
        <w:t xml:space="preserve"> </w:t>
      </w:r>
      <w:r w:rsidR="004A5868" w:rsidRPr="007602DC">
        <w:rPr>
          <w:rFonts w:asciiTheme="majorBidi" w:hAnsiTheme="majorBidi" w:cstheme="majorBidi"/>
          <w:sz w:val="22"/>
        </w:rPr>
        <w:t>Cooperative Learning</w:t>
      </w:r>
      <w:r w:rsidR="00E1224F" w:rsidRPr="007602DC">
        <w:rPr>
          <w:rFonts w:asciiTheme="majorBidi" w:hAnsiTheme="majorBidi" w:cstheme="majorBidi"/>
          <w:sz w:val="22"/>
        </w:rPr>
        <w:t xml:space="preserve"> (CL) was originally based on the social constructivist view of learning which attempted to make students more responsible and instruction more relevant (Barros &amp; Verdejo, </w:t>
      </w:r>
      <w:hyperlink r:id="rId8" w:history="1">
        <w:r w:rsidR="00E1224F" w:rsidRPr="007602DC">
          <w:rPr>
            <w:rStyle w:val="Hyperlink"/>
            <w:rFonts w:asciiTheme="majorBidi" w:hAnsiTheme="majorBidi" w:cstheme="majorBidi"/>
            <w:color w:val="auto"/>
            <w:sz w:val="22"/>
            <w:u w:val="none"/>
          </w:rPr>
          <w:t>1998</w:t>
        </w:r>
      </w:hyperlink>
      <w:r w:rsidR="00E1224F" w:rsidRPr="007602DC">
        <w:rPr>
          <w:rFonts w:asciiTheme="majorBidi" w:hAnsiTheme="majorBidi" w:cstheme="majorBidi"/>
          <w:sz w:val="22"/>
        </w:rPr>
        <w:t>).</w:t>
      </w:r>
      <w:r w:rsidR="00E1224F" w:rsidRPr="007602DC">
        <w:rPr>
          <w:rFonts w:asciiTheme="majorBidi" w:eastAsia="Times New Roman" w:hAnsiTheme="majorBidi" w:cstheme="majorBidi"/>
          <w:sz w:val="22"/>
        </w:rPr>
        <w:t xml:space="preserve"> In </w:t>
      </w:r>
      <w:r w:rsidR="00E1224F" w:rsidRPr="007602DC">
        <w:rPr>
          <w:rFonts w:asciiTheme="majorBidi" w:hAnsiTheme="majorBidi" w:cstheme="majorBidi"/>
          <w:sz w:val="22"/>
        </w:rPr>
        <w:t>Cooperative Learning</w:t>
      </w:r>
      <w:r w:rsidR="00E1224F" w:rsidRPr="007602DC">
        <w:rPr>
          <w:rFonts w:asciiTheme="majorBidi" w:eastAsia="Times New Roman" w:hAnsiTheme="majorBidi" w:cstheme="majorBidi"/>
          <w:sz w:val="22"/>
        </w:rPr>
        <w:t xml:space="preserve">, </w:t>
      </w:r>
      <w:r w:rsidR="00E1224F" w:rsidRPr="007602DC">
        <w:rPr>
          <w:rFonts w:asciiTheme="majorBidi" w:hAnsiTheme="majorBidi" w:cstheme="majorBidi"/>
          <w:sz w:val="22"/>
        </w:rPr>
        <w:t>students</w:t>
      </w:r>
      <w:r w:rsidR="004A5868" w:rsidRPr="007602DC">
        <w:rPr>
          <w:rFonts w:asciiTheme="majorBidi" w:hAnsiTheme="majorBidi" w:cstheme="majorBidi"/>
          <w:sz w:val="22"/>
        </w:rPr>
        <w:t xml:space="preserve"> work together to solve a problem, complete a project, or achieve any other instructional goal. </w:t>
      </w:r>
      <w:r w:rsidR="002D6260" w:rsidRPr="007602DC">
        <w:rPr>
          <w:rFonts w:asciiTheme="majorBidi" w:hAnsiTheme="majorBidi" w:cstheme="majorBidi"/>
          <w:sz w:val="22"/>
        </w:rPr>
        <w:t xml:space="preserve">In such contexts, teachers </w:t>
      </w:r>
      <w:r w:rsidR="00922148" w:rsidRPr="007602DC">
        <w:rPr>
          <w:rFonts w:asciiTheme="majorBidi" w:hAnsiTheme="majorBidi" w:cstheme="majorBidi"/>
          <w:sz w:val="22"/>
        </w:rPr>
        <w:t>supervise and monitor the group activities and provide any support or guide required.</w:t>
      </w:r>
    </w:p>
    <w:p w14:paraId="38E5F94C" w14:textId="2885FE94" w:rsidR="00276BCA" w:rsidRPr="00812AE3" w:rsidRDefault="00922148" w:rsidP="00146C86">
      <w:pPr>
        <w:spacing w:after="120" w:line="240" w:lineRule="auto"/>
        <w:ind w:left="115" w:right="72" w:firstLine="562"/>
        <w:jc w:val="both"/>
        <w:rPr>
          <w:rFonts w:asciiTheme="majorBidi" w:eastAsia="Times New Roman" w:hAnsiTheme="majorBidi" w:cstheme="majorBidi"/>
          <w:b/>
          <w:bCs/>
          <w:color w:val="FF0000"/>
          <w:sz w:val="22"/>
        </w:rPr>
      </w:pPr>
      <w:r w:rsidRPr="007602DC">
        <w:rPr>
          <w:rFonts w:asciiTheme="majorBidi" w:hAnsiTheme="majorBidi" w:cstheme="majorBidi"/>
          <w:sz w:val="22"/>
        </w:rPr>
        <w:t>Streaming stems from classic theories of intelligence testing according to which every individual has a fixed, general level of intelligence. Tieso (2005) claims that ability grouping of the students within a class means separating students for class activities.</w:t>
      </w:r>
      <w:r w:rsidR="00617BB8" w:rsidRPr="00617BB8">
        <w:rPr>
          <w:rFonts w:asciiTheme="majorBidi" w:eastAsia="Times New Roman" w:hAnsiTheme="majorBidi" w:cstheme="majorBidi"/>
          <w:b/>
          <w:bCs/>
          <w:color w:val="FF0000"/>
          <w:sz w:val="22"/>
        </w:rPr>
        <w:t xml:space="preserve"> </w:t>
      </w:r>
      <w:r w:rsidR="00617BB8" w:rsidRPr="00B37CDF">
        <w:rPr>
          <w:rFonts w:asciiTheme="majorBidi" w:eastAsia="Times New Roman" w:hAnsiTheme="majorBidi" w:cstheme="majorBidi"/>
          <w:sz w:val="22"/>
        </w:rPr>
        <w:t xml:space="preserve">Along with the variety of grouping </w:t>
      </w:r>
      <w:r w:rsidR="00617BB8" w:rsidRPr="00B37CDF">
        <w:rPr>
          <w:rFonts w:asciiTheme="majorBidi" w:eastAsia="Times New Roman" w:hAnsiTheme="majorBidi" w:cstheme="majorBidi"/>
          <w:sz w:val="22"/>
        </w:rPr>
        <w:lastRenderedPageBreak/>
        <w:t xml:space="preserve">practices, alternatives include a teaching strategy of cooperative learning, or partnership which involves </w:t>
      </w:r>
      <w:r w:rsidR="00B37CDF" w:rsidRPr="00B37CDF">
        <w:rPr>
          <w:rFonts w:asciiTheme="majorBidi" w:eastAsia="Times New Roman" w:hAnsiTheme="majorBidi" w:cstheme="majorBidi"/>
          <w:sz w:val="22"/>
        </w:rPr>
        <w:t>certain</w:t>
      </w:r>
      <w:r w:rsidR="00617BB8" w:rsidRPr="00B37CDF">
        <w:rPr>
          <w:rFonts w:asciiTheme="majorBidi" w:eastAsia="Times New Roman" w:hAnsiTheme="majorBidi" w:cstheme="majorBidi"/>
          <w:sz w:val="22"/>
        </w:rPr>
        <w:t xml:space="preserve"> form of grouping. </w:t>
      </w:r>
      <w:r w:rsidR="00D07274">
        <w:rPr>
          <w:rFonts w:asciiTheme="majorBidi" w:eastAsia="Times New Roman" w:hAnsiTheme="majorBidi" w:cstheme="majorBidi"/>
          <w:sz w:val="22"/>
        </w:rPr>
        <w:t>Bryant (2019) maintains that the main objective in Higher Education is to remove achievement gaps by fostering partnership activities.</w:t>
      </w:r>
      <w:r w:rsidRPr="00B37CDF">
        <w:rPr>
          <w:rFonts w:asciiTheme="majorBidi" w:hAnsiTheme="majorBidi" w:cstheme="majorBidi"/>
          <w:sz w:val="22"/>
        </w:rPr>
        <w:t xml:space="preserve"> </w:t>
      </w:r>
      <w:r w:rsidR="00D02654" w:rsidRPr="00B37CDF">
        <w:rPr>
          <w:rFonts w:asciiTheme="majorBidi" w:eastAsia="Times New Roman" w:hAnsiTheme="majorBidi" w:cstheme="majorBidi"/>
          <w:sz w:val="22"/>
        </w:rPr>
        <w:t>Although there exist some subtle differences, partnership working, team working and collaboration are often used synonymously within the context of Hig</w:t>
      </w:r>
      <w:r w:rsidR="00DD08C4" w:rsidRPr="00B37CDF">
        <w:rPr>
          <w:rFonts w:asciiTheme="majorBidi" w:eastAsia="Times New Roman" w:hAnsiTheme="majorBidi" w:cstheme="majorBidi"/>
          <w:sz w:val="22"/>
        </w:rPr>
        <w:t>h</w:t>
      </w:r>
      <w:r w:rsidR="00D02654" w:rsidRPr="00B37CDF">
        <w:rPr>
          <w:rFonts w:asciiTheme="majorBidi" w:eastAsia="Times New Roman" w:hAnsiTheme="majorBidi" w:cstheme="majorBidi"/>
          <w:sz w:val="22"/>
        </w:rPr>
        <w:t>er Education (McKimm, Millard, &amp; Held, 2008).</w:t>
      </w:r>
      <w:r w:rsidR="00617BB8" w:rsidRPr="00B37CDF">
        <w:rPr>
          <w:rFonts w:asciiTheme="majorBidi" w:eastAsia="Times New Roman" w:hAnsiTheme="majorBidi" w:cstheme="majorBidi"/>
          <w:sz w:val="22"/>
        </w:rPr>
        <w:t xml:space="preserve"> Students work together toward a common goal and hold each other accountable for participation and learning progress.</w:t>
      </w:r>
      <w:r w:rsidR="005004D8">
        <w:rPr>
          <w:rFonts w:asciiTheme="majorBidi" w:eastAsia="Times New Roman" w:hAnsiTheme="majorBidi" w:cstheme="majorBidi"/>
          <w:sz w:val="22"/>
        </w:rPr>
        <w:t xml:space="preserve"> </w:t>
      </w:r>
      <w:r w:rsidR="00110E82" w:rsidRPr="00B37CDF">
        <w:rPr>
          <w:rFonts w:asciiTheme="majorBidi" w:hAnsiTheme="majorBidi" w:cstheme="majorBidi"/>
          <w:sz w:val="22"/>
        </w:rPr>
        <w:t xml:space="preserve">Amey (2010) suggests that partnership is very important </w:t>
      </w:r>
      <w:r w:rsidR="002D6260" w:rsidRPr="00B37CDF">
        <w:rPr>
          <w:rFonts w:asciiTheme="majorBidi" w:hAnsiTheme="majorBidi" w:cstheme="majorBidi"/>
          <w:sz w:val="22"/>
        </w:rPr>
        <w:t xml:space="preserve">at the community college level. </w:t>
      </w:r>
      <w:r w:rsidR="00110E82" w:rsidRPr="00B37CDF">
        <w:rPr>
          <w:rFonts w:asciiTheme="majorBidi" w:hAnsiTheme="majorBidi" w:cstheme="majorBidi"/>
          <w:sz w:val="22"/>
        </w:rPr>
        <w:t xml:space="preserve">According to </w:t>
      </w:r>
      <w:r w:rsidR="003D3F59" w:rsidRPr="00B37CDF">
        <w:rPr>
          <w:rFonts w:eastAsia="Calibri" w:cs="Times New Roman"/>
          <w:sz w:val="22"/>
        </w:rPr>
        <w:t xml:space="preserve">Healey, </w:t>
      </w:r>
      <w:r w:rsidR="00CD0359">
        <w:rPr>
          <w:rFonts w:eastAsia="Calibri" w:cs="Times New Roman"/>
          <w:sz w:val="22"/>
        </w:rPr>
        <w:t xml:space="preserve">et al. </w:t>
      </w:r>
      <w:r w:rsidR="003D3F59" w:rsidRPr="00B37CDF">
        <w:rPr>
          <w:rFonts w:eastAsia="Calibri" w:cs="Times New Roman"/>
          <w:sz w:val="22"/>
        </w:rPr>
        <w:t xml:space="preserve">(2014), </w:t>
      </w:r>
      <w:r w:rsidR="00110E82" w:rsidRPr="00B37CDF">
        <w:rPr>
          <w:rFonts w:asciiTheme="majorBidi" w:hAnsiTheme="majorBidi" w:cstheme="majorBidi"/>
          <w:sz w:val="22"/>
        </w:rPr>
        <w:t>through partnership</w:t>
      </w:r>
      <w:r w:rsidR="00153072" w:rsidRPr="00B37CDF">
        <w:rPr>
          <w:rFonts w:asciiTheme="majorBidi" w:hAnsiTheme="majorBidi" w:cstheme="majorBidi"/>
          <w:sz w:val="22"/>
        </w:rPr>
        <w:t>,</w:t>
      </w:r>
      <w:r w:rsidR="00110E82" w:rsidRPr="00B37CDF">
        <w:rPr>
          <w:rFonts w:asciiTheme="majorBidi" w:hAnsiTheme="majorBidi" w:cstheme="majorBidi"/>
          <w:sz w:val="22"/>
        </w:rPr>
        <w:t xml:space="preserve"> a strong sense of community is built among students, as well as among students and </w:t>
      </w:r>
      <w:r w:rsidR="00924DD2" w:rsidRPr="00B37CDF">
        <w:rPr>
          <w:rFonts w:asciiTheme="majorBidi" w:hAnsiTheme="majorBidi" w:cstheme="majorBidi"/>
          <w:sz w:val="22"/>
        </w:rPr>
        <w:t xml:space="preserve">the </w:t>
      </w:r>
      <w:r w:rsidR="00110E82" w:rsidRPr="00B37CDF">
        <w:rPr>
          <w:rFonts w:asciiTheme="majorBidi" w:hAnsiTheme="majorBidi" w:cstheme="majorBidi"/>
          <w:sz w:val="22"/>
        </w:rPr>
        <w:t xml:space="preserve">staff. </w:t>
      </w:r>
      <w:r w:rsidR="00FA23CD" w:rsidRPr="00B37CDF">
        <w:rPr>
          <w:rFonts w:asciiTheme="majorBidi" w:hAnsiTheme="majorBidi" w:cstheme="majorBidi"/>
          <w:sz w:val="22"/>
        </w:rPr>
        <w:t>Considering the variety of needs</w:t>
      </w:r>
      <w:r w:rsidR="00392664" w:rsidRPr="00B37CDF">
        <w:rPr>
          <w:rFonts w:asciiTheme="majorBidi" w:hAnsiTheme="majorBidi" w:cstheme="majorBidi"/>
          <w:sz w:val="22"/>
        </w:rPr>
        <w:t>,</w:t>
      </w:r>
      <w:r w:rsidR="00FA23CD" w:rsidRPr="00B37CDF">
        <w:rPr>
          <w:rFonts w:asciiTheme="majorBidi" w:hAnsiTheme="majorBidi" w:cstheme="majorBidi"/>
          <w:sz w:val="22"/>
        </w:rPr>
        <w:t xml:space="preserve"> objectives, expertise</w:t>
      </w:r>
      <w:r w:rsidR="00392664" w:rsidRPr="00B37CDF">
        <w:rPr>
          <w:rFonts w:asciiTheme="majorBidi" w:hAnsiTheme="majorBidi" w:cstheme="majorBidi"/>
          <w:sz w:val="22"/>
        </w:rPr>
        <w:t>,</w:t>
      </w:r>
      <w:r w:rsidR="00FA23CD" w:rsidRPr="00B37CDF">
        <w:rPr>
          <w:rFonts w:asciiTheme="majorBidi" w:hAnsiTheme="majorBidi" w:cstheme="majorBidi"/>
          <w:sz w:val="22"/>
        </w:rPr>
        <w:t xml:space="preserve"> and working practices, such </w:t>
      </w:r>
      <w:r w:rsidR="00636074" w:rsidRPr="00B37CDF">
        <w:rPr>
          <w:rFonts w:asciiTheme="majorBidi" w:hAnsiTheme="majorBidi" w:cstheme="majorBidi"/>
          <w:sz w:val="22"/>
        </w:rPr>
        <w:t xml:space="preserve">a </w:t>
      </w:r>
      <w:r w:rsidR="00FA23CD" w:rsidRPr="00B37CDF">
        <w:rPr>
          <w:rFonts w:asciiTheme="majorBidi" w:hAnsiTheme="majorBidi" w:cstheme="majorBidi"/>
          <w:sz w:val="22"/>
        </w:rPr>
        <w:t>collaborative work or partnership activity must potentially b</w:t>
      </w:r>
      <w:r w:rsidR="008233C1" w:rsidRPr="00B37CDF">
        <w:rPr>
          <w:rFonts w:asciiTheme="majorBidi" w:hAnsiTheme="majorBidi" w:cstheme="majorBidi"/>
          <w:sz w:val="22"/>
        </w:rPr>
        <w:t>e flexible (Whitchurch, 2013).</w:t>
      </w:r>
      <w:r w:rsidR="00517578" w:rsidRPr="00B37CDF">
        <w:rPr>
          <w:rFonts w:asciiTheme="majorBidi" w:hAnsiTheme="majorBidi" w:cstheme="majorBidi"/>
          <w:sz w:val="22"/>
        </w:rPr>
        <w:t xml:space="preserve"> </w:t>
      </w:r>
      <w:r w:rsidR="00276BCA" w:rsidRPr="00B37CDF">
        <w:rPr>
          <w:rFonts w:asciiTheme="majorBidi" w:eastAsia="Times New Roman" w:hAnsiTheme="majorBidi" w:cstheme="majorBidi"/>
          <w:sz w:val="22"/>
        </w:rPr>
        <w:t xml:space="preserve">Groups </w:t>
      </w:r>
      <w:r w:rsidR="001466A5" w:rsidRPr="00B37CDF">
        <w:rPr>
          <w:rFonts w:asciiTheme="majorBidi" w:eastAsia="Times New Roman" w:hAnsiTheme="majorBidi" w:cstheme="majorBidi"/>
          <w:sz w:val="22"/>
        </w:rPr>
        <w:t xml:space="preserve">are </w:t>
      </w:r>
      <w:r w:rsidR="00276BCA" w:rsidRPr="00B37CDF">
        <w:rPr>
          <w:rFonts w:asciiTheme="majorBidi" w:eastAsia="Times New Roman" w:hAnsiTheme="majorBidi" w:cstheme="majorBidi"/>
          <w:sz w:val="22"/>
        </w:rPr>
        <w:t>usual</w:t>
      </w:r>
      <w:r w:rsidR="001466A5" w:rsidRPr="00B37CDF">
        <w:rPr>
          <w:rFonts w:asciiTheme="majorBidi" w:eastAsia="Times New Roman" w:hAnsiTheme="majorBidi" w:cstheme="majorBidi"/>
          <w:sz w:val="22"/>
        </w:rPr>
        <w:t xml:space="preserve">ly heterogeneous </w:t>
      </w:r>
      <w:r w:rsidR="00325DAC">
        <w:rPr>
          <w:rFonts w:asciiTheme="majorBidi" w:eastAsia="Times New Roman" w:hAnsiTheme="majorBidi" w:cstheme="majorBidi"/>
          <w:sz w:val="22"/>
        </w:rPr>
        <w:t>regarding their</w:t>
      </w:r>
      <w:r w:rsidR="001466A5" w:rsidRPr="00B37CDF">
        <w:rPr>
          <w:rFonts w:asciiTheme="majorBidi" w:eastAsia="Times New Roman" w:hAnsiTheme="majorBidi" w:cstheme="majorBidi"/>
          <w:sz w:val="22"/>
        </w:rPr>
        <w:t xml:space="preserve"> achievement</w:t>
      </w:r>
      <w:r w:rsidR="00325DAC">
        <w:rPr>
          <w:rFonts w:asciiTheme="majorBidi" w:eastAsia="Times New Roman" w:hAnsiTheme="majorBidi" w:cstheme="majorBidi"/>
          <w:sz w:val="22"/>
        </w:rPr>
        <w:t>s</w:t>
      </w:r>
      <w:r w:rsidR="001466A5" w:rsidRPr="00B37CDF">
        <w:rPr>
          <w:rFonts w:asciiTheme="majorBidi" w:eastAsia="Times New Roman" w:hAnsiTheme="majorBidi" w:cstheme="majorBidi"/>
          <w:sz w:val="22"/>
        </w:rPr>
        <w:t>. They</w:t>
      </w:r>
      <w:r w:rsidR="00276BCA" w:rsidRPr="00B37CDF">
        <w:rPr>
          <w:rFonts w:asciiTheme="majorBidi" w:eastAsia="Times New Roman" w:hAnsiTheme="majorBidi" w:cstheme="majorBidi"/>
          <w:sz w:val="22"/>
        </w:rPr>
        <w:t xml:space="preserve"> </w:t>
      </w:r>
      <w:r w:rsidR="001466A5" w:rsidRPr="00B37CDF">
        <w:rPr>
          <w:rFonts w:asciiTheme="majorBidi" w:eastAsia="Times New Roman" w:hAnsiTheme="majorBidi" w:cstheme="majorBidi"/>
          <w:sz w:val="22"/>
        </w:rPr>
        <w:t>typically include</w:t>
      </w:r>
      <w:r w:rsidR="00276BCA" w:rsidRPr="00B37CDF">
        <w:rPr>
          <w:rFonts w:asciiTheme="majorBidi" w:eastAsia="Times New Roman" w:hAnsiTheme="majorBidi" w:cstheme="majorBidi"/>
          <w:sz w:val="22"/>
        </w:rPr>
        <w:t xml:space="preserve"> </w:t>
      </w:r>
      <w:r w:rsidR="001466A5" w:rsidRPr="00B37CDF">
        <w:rPr>
          <w:rFonts w:asciiTheme="majorBidi" w:eastAsia="Times New Roman" w:hAnsiTheme="majorBidi" w:cstheme="majorBidi"/>
          <w:sz w:val="22"/>
        </w:rPr>
        <w:t>high-achieving,</w:t>
      </w:r>
      <w:r w:rsidR="00276BCA" w:rsidRPr="00B37CDF">
        <w:rPr>
          <w:rFonts w:asciiTheme="majorBidi" w:eastAsia="Times New Roman" w:hAnsiTheme="majorBidi" w:cstheme="majorBidi"/>
          <w:sz w:val="22"/>
        </w:rPr>
        <w:t xml:space="preserve"> low-achieving</w:t>
      </w:r>
      <w:r w:rsidR="001466A5" w:rsidRPr="00B37CDF">
        <w:rPr>
          <w:rFonts w:asciiTheme="majorBidi" w:eastAsia="Times New Roman" w:hAnsiTheme="majorBidi" w:cstheme="majorBidi"/>
          <w:sz w:val="22"/>
        </w:rPr>
        <w:t xml:space="preserve">, and </w:t>
      </w:r>
      <w:r w:rsidR="00276BCA" w:rsidRPr="00B37CDF">
        <w:rPr>
          <w:rFonts w:asciiTheme="majorBidi" w:eastAsia="Times New Roman" w:hAnsiTheme="majorBidi" w:cstheme="majorBidi"/>
          <w:sz w:val="22"/>
        </w:rPr>
        <w:t>average-achieving st</w:t>
      </w:r>
      <w:r w:rsidR="001466A5" w:rsidRPr="00B37CDF">
        <w:rPr>
          <w:rFonts w:asciiTheme="majorBidi" w:eastAsia="Times New Roman" w:hAnsiTheme="majorBidi" w:cstheme="majorBidi"/>
          <w:sz w:val="22"/>
        </w:rPr>
        <w:t>udents (Nattiv, 1994). Similar</w:t>
      </w:r>
      <w:r w:rsidR="00276BCA" w:rsidRPr="00B37CDF">
        <w:rPr>
          <w:rFonts w:asciiTheme="majorBidi" w:eastAsia="Times New Roman" w:hAnsiTheme="majorBidi" w:cstheme="majorBidi"/>
          <w:sz w:val="22"/>
        </w:rPr>
        <w:t xml:space="preserve"> to </w:t>
      </w:r>
      <w:r w:rsidR="00812AE3" w:rsidRPr="00B37CDF">
        <w:rPr>
          <w:rFonts w:asciiTheme="majorBidi" w:eastAsia="Times New Roman" w:hAnsiTheme="majorBidi" w:cstheme="majorBidi"/>
          <w:sz w:val="22"/>
        </w:rPr>
        <w:t xml:space="preserve">ability-grouping, partnership activities have also variety of forms where the </w:t>
      </w:r>
      <w:r w:rsidR="00276BCA" w:rsidRPr="00B37CDF">
        <w:rPr>
          <w:rFonts w:asciiTheme="majorBidi" w:eastAsia="Times New Roman" w:hAnsiTheme="majorBidi" w:cstheme="majorBidi"/>
          <w:sz w:val="22"/>
        </w:rPr>
        <w:t xml:space="preserve">group work and </w:t>
      </w:r>
      <w:r w:rsidR="00812AE3" w:rsidRPr="00B37CDF">
        <w:rPr>
          <w:rFonts w:asciiTheme="majorBidi" w:eastAsia="Times New Roman" w:hAnsiTheme="majorBidi" w:cstheme="majorBidi"/>
          <w:sz w:val="22"/>
        </w:rPr>
        <w:t xml:space="preserve">the </w:t>
      </w:r>
      <w:r w:rsidR="00276BCA" w:rsidRPr="00B37CDF">
        <w:rPr>
          <w:rFonts w:asciiTheme="majorBidi" w:eastAsia="Times New Roman" w:hAnsiTheme="majorBidi" w:cstheme="majorBidi"/>
          <w:sz w:val="22"/>
        </w:rPr>
        <w:t>group goals are the</w:t>
      </w:r>
      <w:r w:rsidR="00812AE3" w:rsidRPr="00B37CDF">
        <w:rPr>
          <w:rFonts w:asciiTheme="majorBidi" w:eastAsia="Times New Roman" w:hAnsiTheme="majorBidi" w:cstheme="majorBidi"/>
          <w:sz w:val="22"/>
        </w:rPr>
        <w:t xml:space="preserve"> main</w:t>
      </w:r>
      <w:r w:rsidR="00276BCA" w:rsidRPr="00B37CDF">
        <w:rPr>
          <w:rFonts w:asciiTheme="majorBidi" w:eastAsia="Times New Roman" w:hAnsiTheme="majorBidi" w:cstheme="majorBidi"/>
          <w:sz w:val="22"/>
        </w:rPr>
        <w:t xml:space="preserve"> focus.</w:t>
      </w:r>
    </w:p>
    <w:p w14:paraId="6999B6F1" w14:textId="77777777" w:rsidR="0092369B" w:rsidRPr="00E93D2F" w:rsidRDefault="00E93D2F" w:rsidP="00E93D2F">
      <w:pPr>
        <w:autoSpaceDE w:val="0"/>
        <w:autoSpaceDN w:val="0"/>
        <w:adjustRightInd w:val="0"/>
        <w:spacing w:after="120" w:line="240" w:lineRule="auto"/>
        <w:jc w:val="both"/>
        <w:rPr>
          <w:rFonts w:asciiTheme="majorBidi" w:hAnsiTheme="majorBidi" w:cstheme="majorBidi"/>
          <w:i/>
          <w:iCs/>
          <w:sz w:val="22"/>
        </w:rPr>
      </w:pPr>
      <w:r>
        <w:rPr>
          <w:rFonts w:asciiTheme="majorBidi" w:hAnsiTheme="majorBidi" w:cstheme="majorBidi"/>
          <w:i/>
          <w:iCs/>
          <w:sz w:val="22"/>
        </w:rPr>
        <w:t>2.</w:t>
      </w:r>
      <w:r w:rsidR="00812AE3" w:rsidRPr="00E93D2F">
        <w:rPr>
          <w:rFonts w:asciiTheme="majorBidi" w:hAnsiTheme="majorBidi" w:cstheme="majorBidi"/>
          <w:i/>
          <w:iCs/>
          <w:sz w:val="22"/>
        </w:rPr>
        <w:t xml:space="preserve">2. Empirical </w:t>
      </w:r>
      <w:r w:rsidR="00B4764C" w:rsidRPr="00E93D2F">
        <w:rPr>
          <w:rFonts w:asciiTheme="majorBidi" w:hAnsiTheme="majorBidi" w:cstheme="majorBidi"/>
          <w:i/>
          <w:iCs/>
          <w:sz w:val="22"/>
        </w:rPr>
        <w:t>Background</w:t>
      </w:r>
    </w:p>
    <w:p w14:paraId="490C2FB0" w14:textId="77777777" w:rsidR="00022AE3" w:rsidRPr="007602DC" w:rsidRDefault="00B3125D" w:rsidP="00E93D2F">
      <w:pPr>
        <w:spacing w:after="120" w:line="240" w:lineRule="auto"/>
        <w:ind w:left="115" w:right="72"/>
        <w:jc w:val="both"/>
        <w:rPr>
          <w:rFonts w:asciiTheme="majorBidi" w:eastAsia="Times New Roman" w:hAnsiTheme="majorBidi" w:cstheme="majorBidi"/>
          <w:sz w:val="22"/>
        </w:rPr>
      </w:pPr>
      <w:r w:rsidRPr="007602DC">
        <w:rPr>
          <w:rFonts w:asciiTheme="majorBidi" w:hAnsiTheme="majorBidi" w:cstheme="majorBidi"/>
          <w:sz w:val="22"/>
        </w:rPr>
        <w:t>R</w:t>
      </w:r>
      <w:r w:rsidR="00265920" w:rsidRPr="007602DC">
        <w:rPr>
          <w:rFonts w:asciiTheme="majorBidi" w:hAnsiTheme="majorBidi" w:cstheme="majorBidi"/>
          <w:sz w:val="22"/>
        </w:rPr>
        <w:t xml:space="preserve">ecent studies on the role of streaming indicate that ability-grouping </w:t>
      </w:r>
      <w:r w:rsidR="00FA23CD" w:rsidRPr="007602DC">
        <w:rPr>
          <w:rFonts w:asciiTheme="majorBidi" w:hAnsiTheme="majorBidi" w:cstheme="majorBidi"/>
          <w:sz w:val="22"/>
        </w:rPr>
        <w:t xml:space="preserve">is closely related to and </w:t>
      </w:r>
      <w:r w:rsidR="00265920" w:rsidRPr="007602DC">
        <w:rPr>
          <w:rFonts w:asciiTheme="majorBidi" w:hAnsiTheme="majorBidi" w:cstheme="majorBidi"/>
          <w:sz w:val="22"/>
        </w:rPr>
        <w:t xml:space="preserve">can produce </w:t>
      </w:r>
      <w:r w:rsidR="00265920" w:rsidRPr="000458CF">
        <w:rPr>
          <w:rFonts w:asciiTheme="majorBidi" w:hAnsiTheme="majorBidi" w:cstheme="majorBidi"/>
          <w:sz w:val="22"/>
        </w:rPr>
        <w:t xml:space="preserve">different impacts on students’ academic achievement (Liu, 2009; Smith, 2011). </w:t>
      </w:r>
      <w:r w:rsidR="003F75AF" w:rsidRPr="000458CF">
        <w:rPr>
          <w:rFonts w:eastAsia="Times New Roman" w:cs="Times New Roman"/>
          <w:sz w:val="22"/>
        </w:rPr>
        <w:t xml:space="preserve">Some studies indicated that students’ retention and success would be increased through promoting a sense of community and belonging among them (Thomas, 2012). Lech, Hoople, Abiker, Mitchell, and Mooney (2017) found that partnership fostered the sense of community, belonging, and support among the participants, and it also developed the students’ capacity to engage. </w:t>
      </w:r>
      <w:r w:rsidR="00265920" w:rsidRPr="000458CF">
        <w:rPr>
          <w:rFonts w:asciiTheme="majorBidi" w:hAnsiTheme="majorBidi" w:cstheme="majorBidi"/>
          <w:sz w:val="22"/>
        </w:rPr>
        <w:t xml:space="preserve">Poole (2008) claims students in </w:t>
      </w:r>
      <w:r w:rsidR="00BB0D3D" w:rsidRPr="000458CF">
        <w:rPr>
          <w:rFonts w:asciiTheme="majorBidi" w:hAnsiTheme="majorBidi" w:cstheme="majorBidi"/>
          <w:sz w:val="22"/>
        </w:rPr>
        <w:t xml:space="preserve">the </w:t>
      </w:r>
      <w:r w:rsidR="00265920" w:rsidRPr="000458CF">
        <w:rPr>
          <w:rFonts w:asciiTheme="majorBidi" w:hAnsiTheme="majorBidi" w:cstheme="majorBidi"/>
          <w:sz w:val="22"/>
        </w:rPr>
        <w:t xml:space="preserve">low-ability group learn through observation and by simply interacting with </w:t>
      </w:r>
      <w:r w:rsidR="00BB0D3D" w:rsidRPr="000458CF">
        <w:rPr>
          <w:rFonts w:asciiTheme="majorBidi" w:hAnsiTheme="majorBidi" w:cstheme="majorBidi"/>
          <w:sz w:val="22"/>
        </w:rPr>
        <w:t xml:space="preserve">the </w:t>
      </w:r>
      <w:r w:rsidR="00265920" w:rsidRPr="000458CF">
        <w:rPr>
          <w:rFonts w:asciiTheme="majorBidi" w:hAnsiTheme="majorBidi" w:cstheme="majorBidi"/>
          <w:sz w:val="22"/>
        </w:rPr>
        <w:t>high-ability students.</w:t>
      </w:r>
      <w:r w:rsidR="000211FC" w:rsidRPr="000458CF">
        <w:rPr>
          <w:rFonts w:asciiTheme="majorBidi" w:hAnsiTheme="majorBidi" w:cstheme="majorBidi"/>
          <w:sz w:val="22"/>
        </w:rPr>
        <w:t xml:space="preserve"> </w:t>
      </w:r>
      <w:r w:rsidR="00151BFE" w:rsidRPr="000458CF">
        <w:rPr>
          <w:rFonts w:asciiTheme="majorBidi" w:eastAsia="Times New Roman" w:hAnsiTheme="majorBidi" w:cstheme="majorBidi"/>
          <w:sz w:val="22"/>
        </w:rPr>
        <w:t>Mynard and Almarzouqi (</w:t>
      </w:r>
      <w:hyperlink r:id="rId9" w:history="1">
        <w:r w:rsidR="00151BFE" w:rsidRPr="000458CF">
          <w:rPr>
            <w:rFonts w:asciiTheme="majorBidi" w:eastAsia="Times New Roman" w:hAnsiTheme="majorBidi" w:cstheme="majorBidi"/>
            <w:sz w:val="22"/>
          </w:rPr>
          <w:t>2006</w:t>
        </w:r>
      </w:hyperlink>
      <w:r w:rsidR="00151BFE" w:rsidRPr="000458CF">
        <w:rPr>
          <w:rFonts w:asciiTheme="majorBidi" w:eastAsia="Times New Roman" w:hAnsiTheme="majorBidi" w:cstheme="majorBidi"/>
          <w:sz w:val="22"/>
        </w:rPr>
        <w:t xml:space="preserve">) found that in </w:t>
      </w:r>
      <w:r w:rsidR="00EC5305" w:rsidRPr="000458CF">
        <w:rPr>
          <w:rFonts w:asciiTheme="majorBidi" w:eastAsia="Times New Roman" w:hAnsiTheme="majorBidi" w:cstheme="majorBidi"/>
          <w:sz w:val="22"/>
        </w:rPr>
        <w:t xml:space="preserve">the </w:t>
      </w:r>
      <w:r w:rsidR="00151BFE" w:rsidRPr="000458CF">
        <w:rPr>
          <w:rFonts w:asciiTheme="majorBidi" w:eastAsia="Times New Roman" w:hAnsiTheme="majorBidi" w:cstheme="majorBidi"/>
          <w:sz w:val="22"/>
        </w:rPr>
        <w:t>heterogeneous groups, higher-ability students support lower-ability o</w:t>
      </w:r>
      <w:r w:rsidR="00022AE3" w:rsidRPr="000458CF">
        <w:rPr>
          <w:rFonts w:asciiTheme="majorBidi" w:eastAsia="Times New Roman" w:hAnsiTheme="majorBidi" w:cstheme="majorBidi"/>
          <w:sz w:val="22"/>
        </w:rPr>
        <w:t>nes and help their progression.</w:t>
      </w:r>
      <w:r w:rsidR="000458CF" w:rsidRPr="000458CF">
        <w:rPr>
          <w:rFonts w:asciiTheme="majorBidi" w:eastAsia="Times New Roman" w:hAnsiTheme="majorBidi" w:cstheme="majorBidi"/>
          <w:sz w:val="22"/>
        </w:rPr>
        <w:t xml:space="preserve"> It was also found that PA helped the higher ability students to consolidate their knowledge and it positively influenced their identity (Allwright, 2014).</w:t>
      </w:r>
      <w:r w:rsidR="00022AE3" w:rsidRPr="000458CF">
        <w:rPr>
          <w:rFonts w:asciiTheme="majorBidi" w:eastAsia="Times New Roman" w:hAnsiTheme="majorBidi" w:cstheme="majorBidi"/>
          <w:sz w:val="22"/>
        </w:rPr>
        <w:t xml:space="preserve"> </w:t>
      </w:r>
      <w:r w:rsidR="00FA23CD" w:rsidRPr="000458CF">
        <w:rPr>
          <w:rFonts w:asciiTheme="majorBidi" w:hAnsiTheme="majorBidi" w:cstheme="majorBidi"/>
          <w:sz w:val="22"/>
        </w:rPr>
        <w:t xml:space="preserve">Emily, Robert, and Michael (2003) </w:t>
      </w:r>
      <w:r w:rsidR="00F40848" w:rsidRPr="000458CF">
        <w:rPr>
          <w:rFonts w:asciiTheme="majorBidi" w:hAnsiTheme="majorBidi" w:cstheme="majorBidi"/>
          <w:sz w:val="22"/>
        </w:rPr>
        <w:t xml:space="preserve">believed </w:t>
      </w:r>
      <w:r w:rsidR="00FA23CD" w:rsidRPr="000458CF">
        <w:rPr>
          <w:rFonts w:asciiTheme="majorBidi" w:hAnsiTheme="majorBidi" w:cstheme="majorBidi"/>
          <w:sz w:val="22"/>
        </w:rPr>
        <w:t>neither homogeneous nor heterogeneous ability grouping could be more effective in promoting students’ academic achievement.</w:t>
      </w:r>
      <w:r w:rsidR="00AC5DEF" w:rsidRPr="000458CF">
        <w:rPr>
          <w:rFonts w:asciiTheme="majorBidi" w:hAnsiTheme="majorBidi" w:cstheme="majorBidi"/>
          <w:sz w:val="22"/>
        </w:rPr>
        <w:t xml:space="preserve"> </w:t>
      </w:r>
      <w:hyperlink r:id="rId10" w:history="1">
        <w:r w:rsidR="00265920" w:rsidRPr="000458CF">
          <w:rPr>
            <w:rStyle w:val="Hyperlink"/>
            <w:rFonts w:asciiTheme="majorBidi" w:hAnsiTheme="majorBidi" w:cstheme="majorBidi"/>
            <w:color w:val="auto"/>
            <w:sz w:val="22"/>
            <w:u w:val="none"/>
          </w:rPr>
          <w:t>Huang</w:t>
        </w:r>
      </w:hyperlink>
      <w:r w:rsidR="00265920" w:rsidRPr="000458CF">
        <w:rPr>
          <w:rFonts w:asciiTheme="majorBidi" w:hAnsiTheme="majorBidi" w:cstheme="majorBidi"/>
          <w:sz w:val="22"/>
        </w:rPr>
        <w:t xml:space="preserve"> (2009) </w:t>
      </w:r>
      <w:r w:rsidR="007B40DE" w:rsidRPr="000458CF">
        <w:rPr>
          <w:rFonts w:asciiTheme="majorBidi" w:hAnsiTheme="majorBidi" w:cstheme="majorBidi"/>
          <w:sz w:val="22"/>
        </w:rPr>
        <w:t>concluded</w:t>
      </w:r>
      <w:r w:rsidR="00265920" w:rsidRPr="000458CF">
        <w:rPr>
          <w:rFonts w:asciiTheme="majorBidi" w:hAnsiTheme="majorBidi" w:cstheme="majorBidi"/>
          <w:sz w:val="22"/>
        </w:rPr>
        <w:t xml:space="preserve"> that homogeneous grouping, relativ</w:t>
      </w:r>
      <w:r w:rsidR="003C5896" w:rsidRPr="000458CF">
        <w:rPr>
          <w:rFonts w:asciiTheme="majorBidi" w:hAnsiTheme="majorBidi" w:cstheme="majorBidi"/>
          <w:sz w:val="22"/>
        </w:rPr>
        <w:t>e to heterogeneous grouping, had</w:t>
      </w:r>
      <w:r w:rsidR="00265920" w:rsidRPr="000458CF">
        <w:rPr>
          <w:rFonts w:asciiTheme="majorBidi" w:hAnsiTheme="majorBidi" w:cstheme="majorBidi"/>
          <w:sz w:val="22"/>
        </w:rPr>
        <w:t xml:space="preserve"> no significant impact on </w:t>
      </w:r>
      <w:r w:rsidR="007B40DE" w:rsidRPr="000458CF">
        <w:rPr>
          <w:rFonts w:asciiTheme="majorBidi" w:hAnsiTheme="majorBidi" w:cstheme="majorBidi"/>
          <w:sz w:val="22"/>
        </w:rPr>
        <w:t xml:space="preserve">the </w:t>
      </w:r>
      <w:r w:rsidR="00741339" w:rsidRPr="000458CF">
        <w:rPr>
          <w:rFonts w:asciiTheme="majorBidi" w:hAnsiTheme="majorBidi" w:cstheme="majorBidi"/>
          <w:sz w:val="22"/>
        </w:rPr>
        <w:t>learners' mean</w:t>
      </w:r>
      <w:r w:rsidR="008233C1" w:rsidRPr="000458CF">
        <w:rPr>
          <w:rFonts w:asciiTheme="majorBidi" w:hAnsiTheme="majorBidi" w:cstheme="majorBidi"/>
          <w:sz w:val="22"/>
        </w:rPr>
        <w:t xml:space="preserve"> performance.</w:t>
      </w:r>
    </w:p>
    <w:p w14:paraId="738E619B" w14:textId="77777777" w:rsidR="00D443C3" w:rsidRPr="007602DC" w:rsidRDefault="00335AA3" w:rsidP="00146C86">
      <w:pPr>
        <w:spacing w:after="120" w:line="240" w:lineRule="auto"/>
        <w:ind w:left="115" w:right="72" w:firstLine="562"/>
        <w:jc w:val="both"/>
        <w:rPr>
          <w:rFonts w:asciiTheme="majorBidi" w:eastAsia="Times New Roman" w:hAnsiTheme="majorBidi" w:cstheme="majorBidi"/>
          <w:sz w:val="22"/>
        </w:rPr>
      </w:pPr>
      <w:r w:rsidRPr="007602DC">
        <w:rPr>
          <w:rFonts w:asciiTheme="majorBidi" w:eastAsia="Times New Roman" w:hAnsiTheme="majorBidi" w:cstheme="majorBidi"/>
          <w:sz w:val="22"/>
        </w:rPr>
        <w:t xml:space="preserve">During the last few years, </w:t>
      </w:r>
      <w:r w:rsidR="004672CA" w:rsidRPr="007602DC">
        <w:rPr>
          <w:rFonts w:asciiTheme="majorBidi" w:eastAsia="Times New Roman" w:hAnsiTheme="majorBidi" w:cstheme="majorBidi"/>
          <w:sz w:val="22"/>
        </w:rPr>
        <w:t>many publications have</w:t>
      </w:r>
      <w:r w:rsidRPr="007602DC">
        <w:rPr>
          <w:rFonts w:asciiTheme="majorBidi" w:eastAsia="Times New Roman" w:hAnsiTheme="majorBidi" w:cstheme="majorBidi"/>
          <w:sz w:val="22"/>
        </w:rPr>
        <w:t xml:space="preserve"> addressed the concept</w:t>
      </w:r>
      <w:r w:rsidR="004672CA" w:rsidRPr="007602DC">
        <w:rPr>
          <w:rFonts w:asciiTheme="majorBidi" w:eastAsia="Times New Roman" w:hAnsiTheme="majorBidi" w:cstheme="majorBidi"/>
          <w:sz w:val="22"/>
        </w:rPr>
        <w:t xml:space="preserve"> of partnership</w:t>
      </w:r>
      <w:r w:rsidRPr="007602DC">
        <w:rPr>
          <w:rFonts w:asciiTheme="majorBidi" w:eastAsia="Times New Roman" w:hAnsiTheme="majorBidi" w:cstheme="majorBidi"/>
          <w:sz w:val="22"/>
        </w:rPr>
        <w:t xml:space="preserve"> (Bryson, 2014; Cook-Sather, Bovill, &amp; Felten, 2014; Dunne &amp; Owen, 2013). </w:t>
      </w:r>
      <w:r w:rsidR="00B3125D" w:rsidRPr="007602DC">
        <w:rPr>
          <w:rFonts w:asciiTheme="majorBidi" w:eastAsia="Times New Roman" w:hAnsiTheme="majorBidi" w:cstheme="majorBidi"/>
          <w:sz w:val="22"/>
        </w:rPr>
        <w:t>R</w:t>
      </w:r>
      <w:r w:rsidR="003C5896" w:rsidRPr="007602DC">
        <w:rPr>
          <w:rFonts w:asciiTheme="majorBidi" w:eastAsia="Times New Roman" w:hAnsiTheme="majorBidi" w:cstheme="majorBidi"/>
          <w:sz w:val="22"/>
        </w:rPr>
        <w:t xml:space="preserve">ecent </w:t>
      </w:r>
      <w:r w:rsidR="00D443C3" w:rsidRPr="007602DC">
        <w:rPr>
          <w:rFonts w:asciiTheme="majorBidi" w:eastAsia="Times New Roman" w:hAnsiTheme="majorBidi" w:cstheme="majorBidi"/>
          <w:sz w:val="22"/>
        </w:rPr>
        <w:t xml:space="preserve">studies indicate that </w:t>
      </w:r>
      <w:r w:rsidR="00FA23CD" w:rsidRPr="007602DC">
        <w:rPr>
          <w:rFonts w:asciiTheme="majorBidi" w:eastAsia="Times New Roman" w:hAnsiTheme="majorBidi" w:cstheme="majorBidi"/>
          <w:sz w:val="22"/>
        </w:rPr>
        <w:t>t</w:t>
      </w:r>
      <w:r w:rsidR="00D443C3" w:rsidRPr="007602DC">
        <w:rPr>
          <w:rFonts w:asciiTheme="majorBidi" w:eastAsia="Times New Roman" w:hAnsiTheme="majorBidi" w:cstheme="majorBidi"/>
          <w:sz w:val="22"/>
        </w:rPr>
        <w:t>hrough partnership, learners develop both their general and subject-specific language skills and qualifications that will lead to more employability chances and benefits (Crawford, Horsley, Hagyard &amp; Derricot, 2015; Pauli, Raymond-Barker &amp; Worrell, 2016).</w:t>
      </w:r>
      <w:r w:rsidR="00022AE3" w:rsidRPr="007602DC">
        <w:rPr>
          <w:rFonts w:asciiTheme="majorBidi" w:eastAsia="Times New Roman" w:hAnsiTheme="majorBidi" w:cstheme="majorBidi"/>
          <w:sz w:val="22"/>
        </w:rPr>
        <w:t xml:space="preserve"> </w:t>
      </w:r>
      <w:r w:rsidR="00D443C3" w:rsidRPr="007602DC">
        <w:rPr>
          <w:rFonts w:asciiTheme="majorBidi" w:eastAsia="Times New Roman" w:hAnsiTheme="majorBidi" w:cstheme="majorBidi"/>
          <w:sz w:val="22"/>
        </w:rPr>
        <w:t xml:space="preserve">Some researchers have examined the value of the PA at university (Dickerson, Jarvis &amp; Stockwell, 2016; Jarvis, Dickerson &amp; Stockwell, 2013). </w:t>
      </w:r>
      <w:r w:rsidR="004672CA" w:rsidRPr="007602DC">
        <w:rPr>
          <w:rFonts w:asciiTheme="majorBidi" w:eastAsia="Times New Roman" w:hAnsiTheme="majorBidi" w:cstheme="majorBidi"/>
          <w:sz w:val="22"/>
        </w:rPr>
        <w:t>In this relation,</w:t>
      </w:r>
      <w:r w:rsidR="00F40848" w:rsidRPr="007602DC">
        <w:rPr>
          <w:rFonts w:asciiTheme="majorBidi" w:hAnsiTheme="majorBidi" w:cstheme="majorBidi"/>
          <w:sz w:val="22"/>
        </w:rPr>
        <w:t xml:space="preserve"> </w:t>
      </w:r>
      <w:r w:rsidR="004672CA" w:rsidRPr="007602DC">
        <w:rPr>
          <w:rFonts w:asciiTheme="majorBidi" w:eastAsia="Times New Roman" w:hAnsiTheme="majorBidi" w:cstheme="majorBidi"/>
          <w:sz w:val="22"/>
        </w:rPr>
        <w:t>students who participated in group activities showed improvement in certain areas of language comparing to those students who worked individually (Dobao &amp; Blum, 2013).</w:t>
      </w:r>
      <w:r w:rsidR="004672CA" w:rsidRPr="007602DC">
        <w:rPr>
          <w:rFonts w:asciiTheme="majorBidi" w:hAnsiTheme="majorBidi" w:cstheme="majorBidi"/>
          <w:sz w:val="22"/>
        </w:rPr>
        <w:t xml:space="preserve"> </w:t>
      </w:r>
      <w:r w:rsidR="004672CA" w:rsidRPr="007602DC">
        <w:rPr>
          <w:rFonts w:asciiTheme="majorBidi" w:eastAsia="Times New Roman" w:hAnsiTheme="majorBidi" w:cstheme="majorBidi"/>
          <w:sz w:val="22"/>
        </w:rPr>
        <w:t>However, few number of</w:t>
      </w:r>
      <w:r w:rsidR="00D443C3" w:rsidRPr="007602DC">
        <w:rPr>
          <w:rFonts w:asciiTheme="majorBidi" w:eastAsia="Times New Roman" w:hAnsiTheme="majorBidi" w:cstheme="majorBidi"/>
          <w:sz w:val="22"/>
        </w:rPr>
        <w:t xml:space="preserve"> research studies have addressed the impact of </w:t>
      </w:r>
      <w:r w:rsidR="00F40848" w:rsidRPr="007602DC">
        <w:rPr>
          <w:rFonts w:asciiTheme="majorBidi" w:eastAsia="Times New Roman" w:hAnsiTheme="majorBidi" w:cstheme="majorBidi"/>
          <w:sz w:val="22"/>
        </w:rPr>
        <w:t xml:space="preserve">the </w:t>
      </w:r>
      <w:r w:rsidR="00D443C3" w:rsidRPr="007602DC">
        <w:rPr>
          <w:rFonts w:asciiTheme="majorBidi" w:eastAsia="Times New Roman" w:hAnsiTheme="majorBidi" w:cstheme="majorBidi"/>
          <w:sz w:val="22"/>
        </w:rPr>
        <w:t>partnership work on undergraduate students’ achievements in different institu</w:t>
      </w:r>
      <w:r w:rsidR="008233C1" w:rsidRPr="007602DC">
        <w:rPr>
          <w:rFonts w:asciiTheme="majorBidi" w:eastAsia="Times New Roman" w:hAnsiTheme="majorBidi" w:cstheme="majorBidi"/>
          <w:sz w:val="22"/>
        </w:rPr>
        <w:t>tions (Jenkins &amp; Healey, 2015).</w:t>
      </w:r>
    </w:p>
    <w:p w14:paraId="38435C03" w14:textId="77777777" w:rsidR="00070AC1" w:rsidRPr="007602DC" w:rsidRDefault="00070AC1" w:rsidP="00146C86">
      <w:pPr>
        <w:spacing w:after="120" w:line="240" w:lineRule="auto"/>
        <w:ind w:left="115" w:right="72" w:firstLine="562"/>
        <w:jc w:val="both"/>
        <w:rPr>
          <w:rFonts w:asciiTheme="majorBidi" w:eastAsia="Times New Roman" w:hAnsiTheme="majorBidi" w:cstheme="majorBidi"/>
          <w:color w:val="FF0000"/>
          <w:sz w:val="22"/>
        </w:rPr>
      </w:pPr>
      <w:r w:rsidRPr="007602DC">
        <w:rPr>
          <w:rFonts w:asciiTheme="majorBidi" w:hAnsiTheme="majorBidi" w:cstheme="majorBidi"/>
          <w:sz w:val="22"/>
        </w:rPr>
        <w:t xml:space="preserve">Khazaeenezhad, Barati, and Jafarzade (2012) </w:t>
      </w:r>
      <w:r w:rsidR="004672CA" w:rsidRPr="007602DC">
        <w:rPr>
          <w:rFonts w:asciiTheme="majorBidi" w:hAnsiTheme="majorBidi" w:cstheme="majorBidi"/>
          <w:sz w:val="22"/>
        </w:rPr>
        <w:t>found</w:t>
      </w:r>
      <w:r w:rsidRPr="007602DC">
        <w:rPr>
          <w:rFonts w:asciiTheme="majorBidi" w:hAnsiTheme="majorBidi" w:cstheme="majorBidi"/>
          <w:sz w:val="22"/>
        </w:rPr>
        <w:t xml:space="preserve"> no significant difference </w:t>
      </w:r>
      <w:r w:rsidR="007F3235" w:rsidRPr="007602DC">
        <w:rPr>
          <w:rFonts w:asciiTheme="majorBidi" w:hAnsiTheme="majorBidi" w:cstheme="majorBidi"/>
          <w:sz w:val="22"/>
        </w:rPr>
        <w:t>between</w:t>
      </w:r>
      <w:r w:rsidRPr="007602DC">
        <w:rPr>
          <w:rFonts w:asciiTheme="majorBidi" w:hAnsiTheme="majorBidi" w:cstheme="majorBidi"/>
          <w:sz w:val="22"/>
        </w:rPr>
        <w:t xml:space="preserve"> the mean scores of the three ability groups on the final (achievement) test. Talebi and Sobhani (2012) examined the impact of Cooperative Learning on EFL l</w:t>
      </w:r>
      <w:r w:rsidR="00BD3B2D" w:rsidRPr="007602DC">
        <w:rPr>
          <w:rFonts w:asciiTheme="majorBidi" w:hAnsiTheme="majorBidi" w:cstheme="majorBidi"/>
          <w:sz w:val="22"/>
        </w:rPr>
        <w:t>earners’ speaking proficiency and concluded that</w:t>
      </w:r>
      <w:r w:rsidRPr="007602DC">
        <w:rPr>
          <w:rFonts w:asciiTheme="majorBidi" w:hAnsiTheme="majorBidi" w:cstheme="majorBidi"/>
          <w:sz w:val="22"/>
        </w:rPr>
        <w:t xml:space="preserve"> students in the experimental group performed significantly better on </w:t>
      </w:r>
      <w:r w:rsidR="004038DD" w:rsidRPr="007602DC">
        <w:rPr>
          <w:rFonts w:asciiTheme="majorBidi" w:hAnsiTheme="majorBidi" w:cstheme="majorBidi"/>
          <w:sz w:val="22"/>
        </w:rPr>
        <w:t xml:space="preserve">the </w:t>
      </w:r>
      <w:r w:rsidRPr="007602DC">
        <w:rPr>
          <w:rFonts w:asciiTheme="majorBidi" w:hAnsiTheme="majorBidi" w:cstheme="majorBidi"/>
          <w:sz w:val="22"/>
        </w:rPr>
        <w:t>oral interview held at the end of the course.</w:t>
      </w:r>
      <w:r w:rsidR="00E9593F" w:rsidRPr="007602DC">
        <w:rPr>
          <w:rFonts w:asciiTheme="majorBidi" w:eastAsia="Times New Roman" w:hAnsiTheme="majorBidi" w:cstheme="majorBidi"/>
          <w:sz w:val="22"/>
        </w:rPr>
        <w:t xml:space="preserve"> Ahmadi, Motallebzade</w:t>
      </w:r>
      <w:r w:rsidR="004038DD" w:rsidRPr="007602DC">
        <w:rPr>
          <w:rFonts w:asciiTheme="majorBidi" w:eastAsia="Times New Roman" w:hAnsiTheme="majorBidi" w:cstheme="majorBidi"/>
          <w:sz w:val="22"/>
        </w:rPr>
        <w:t>,</w:t>
      </w:r>
      <w:r w:rsidR="00E9593F" w:rsidRPr="007602DC">
        <w:rPr>
          <w:rFonts w:asciiTheme="majorBidi" w:eastAsia="Times New Roman" w:hAnsiTheme="majorBidi" w:cstheme="majorBidi"/>
          <w:sz w:val="22"/>
        </w:rPr>
        <w:t xml:space="preserve"> and Fatemi (2014) also conducted a study on the effect of cooperative learning on intermediate students</w:t>
      </w:r>
      <w:r w:rsidR="00742284" w:rsidRPr="007602DC">
        <w:rPr>
          <w:rFonts w:asciiTheme="majorBidi" w:eastAsia="Times New Roman" w:hAnsiTheme="majorBidi" w:cstheme="majorBidi"/>
          <w:sz w:val="22"/>
        </w:rPr>
        <w:t>'</w:t>
      </w:r>
      <w:r w:rsidR="00E9593F" w:rsidRPr="007602DC">
        <w:rPr>
          <w:rFonts w:asciiTheme="majorBidi" w:eastAsia="Times New Roman" w:hAnsiTheme="majorBidi" w:cstheme="majorBidi"/>
          <w:sz w:val="22"/>
        </w:rPr>
        <w:t xml:space="preserve"> writing achievements and found that the cooperative group performed significantly better and earned higher scores on </w:t>
      </w:r>
      <w:r w:rsidR="004038DD" w:rsidRPr="007602DC">
        <w:rPr>
          <w:rFonts w:asciiTheme="majorBidi" w:eastAsia="Times New Roman" w:hAnsiTheme="majorBidi" w:cstheme="majorBidi"/>
          <w:sz w:val="22"/>
        </w:rPr>
        <w:t xml:space="preserve">the </w:t>
      </w:r>
      <w:r w:rsidR="00E9593F" w:rsidRPr="007602DC">
        <w:rPr>
          <w:rFonts w:asciiTheme="majorBidi" w:eastAsia="Times New Roman" w:hAnsiTheme="majorBidi" w:cstheme="majorBidi"/>
          <w:sz w:val="22"/>
        </w:rPr>
        <w:t>posttest.</w:t>
      </w:r>
      <w:r w:rsidR="002A778D" w:rsidRPr="007602DC">
        <w:rPr>
          <w:rFonts w:asciiTheme="majorBidi" w:hAnsiTheme="majorBidi" w:cstheme="majorBidi"/>
          <w:sz w:val="22"/>
        </w:rPr>
        <w:t xml:space="preserve"> Buckley, Archibald, Hargraves, and Trochim (2015</w:t>
      </w:r>
      <w:r w:rsidR="002A778D" w:rsidRPr="007602DC">
        <w:rPr>
          <w:rFonts w:eastAsia="Calibri" w:cs="Times New Roman"/>
          <w:sz w:val="22"/>
        </w:rPr>
        <w:t xml:space="preserve">) also found that when the students were asked to engage in critical peer-reviews, they became motivated to willingly involve in some aspects of the </w:t>
      </w:r>
      <w:r w:rsidR="00F96B91" w:rsidRPr="007602DC">
        <w:rPr>
          <w:rFonts w:eastAsia="Calibri" w:cs="Times New Roman"/>
          <w:sz w:val="22"/>
        </w:rPr>
        <w:t>assessment</w:t>
      </w:r>
      <w:r w:rsidR="002A778D" w:rsidRPr="007602DC">
        <w:rPr>
          <w:rFonts w:eastAsia="Calibri" w:cs="Times New Roman"/>
          <w:sz w:val="22"/>
        </w:rPr>
        <w:t xml:space="preserve"> process.</w:t>
      </w:r>
    </w:p>
    <w:p w14:paraId="0B2DBDBA" w14:textId="77777777" w:rsidR="00A0316A" w:rsidRPr="000458CF" w:rsidRDefault="00B55935" w:rsidP="00146C86">
      <w:pPr>
        <w:spacing w:after="120" w:line="240" w:lineRule="auto"/>
        <w:ind w:left="115" w:right="72" w:firstLine="562"/>
        <w:jc w:val="both"/>
        <w:rPr>
          <w:rFonts w:asciiTheme="majorBidi" w:hAnsiTheme="majorBidi" w:cstheme="majorBidi"/>
          <w:sz w:val="22"/>
        </w:rPr>
      </w:pPr>
      <w:r w:rsidRPr="007602DC">
        <w:rPr>
          <w:rFonts w:asciiTheme="majorBidi" w:hAnsiTheme="majorBidi" w:cstheme="majorBidi"/>
          <w:sz w:val="22"/>
        </w:rPr>
        <w:lastRenderedPageBreak/>
        <w:t xml:space="preserve">Mazdayasna and Zaini (2015) </w:t>
      </w:r>
      <w:r w:rsidR="00F40848" w:rsidRPr="007602DC">
        <w:rPr>
          <w:rFonts w:asciiTheme="majorBidi" w:hAnsiTheme="majorBidi" w:cstheme="majorBidi"/>
          <w:sz w:val="22"/>
        </w:rPr>
        <w:t>asserted</w:t>
      </w:r>
      <w:r w:rsidRPr="007602DC">
        <w:rPr>
          <w:rFonts w:asciiTheme="majorBidi" w:hAnsiTheme="majorBidi" w:cstheme="majorBidi"/>
          <w:sz w:val="22"/>
        </w:rPr>
        <w:t xml:space="preserve"> that students who were engaged in group activities performed significantly better </w:t>
      </w:r>
      <w:r w:rsidR="00B3125D" w:rsidRPr="007602DC">
        <w:rPr>
          <w:rFonts w:asciiTheme="majorBidi" w:hAnsiTheme="majorBidi" w:cstheme="majorBidi"/>
          <w:sz w:val="22"/>
        </w:rPr>
        <w:t xml:space="preserve">on the test of advanced writing </w:t>
      </w:r>
      <w:r w:rsidRPr="007602DC">
        <w:rPr>
          <w:rFonts w:asciiTheme="majorBidi" w:hAnsiTheme="majorBidi" w:cstheme="majorBidi"/>
          <w:sz w:val="22"/>
        </w:rPr>
        <w:t xml:space="preserve">than students who worked individually. They </w:t>
      </w:r>
      <w:r w:rsidR="00E97EC3" w:rsidRPr="007602DC">
        <w:rPr>
          <w:rFonts w:asciiTheme="majorBidi" w:hAnsiTheme="majorBidi" w:cstheme="majorBidi"/>
          <w:sz w:val="22"/>
        </w:rPr>
        <w:t xml:space="preserve">further </w:t>
      </w:r>
      <w:r w:rsidRPr="007602DC">
        <w:rPr>
          <w:rFonts w:asciiTheme="majorBidi" w:hAnsiTheme="majorBidi" w:cstheme="majorBidi"/>
          <w:sz w:val="22"/>
        </w:rPr>
        <w:t>a</w:t>
      </w:r>
      <w:r w:rsidR="00E97EC3" w:rsidRPr="007602DC">
        <w:rPr>
          <w:rFonts w:asciiTheme="majorBidi" w:hAnsiTheme="majorBidi" w:cstheme="majorBidi"/>
          <w:sz w:val="22"/>
        </w:rPr>
        <w:t>rgued</w:t>
      </w:r>
      <w:r w:rsidRPr="007602DC">
        <w:rPr>
          <w:rFonts w:asciiTheme="majorBidi" w:hAnsiTheme="majorBidi" w:cstheme="majorBidi"/>
          <w:sz w:val="22"/>
        </w:rPr>
        <w:t xml:space="preserve"> students who involved in group activities shared their thoughts regarding the form, content, and other aspects of their writing tasks such as spelling, mechanics, and paragraph organization. </w:t>
      </w:r>
      <w:r w:rsidR="00455E49" w:rsidRPr="007602DC">
        <w:rPr>
          <w:rFonts w:asciiTheme="majorBidi" w:hAnsiTheme="majorBidi" w:cstheme="majorBidi"/>
          <w:sz w:val="22"/>
        </w:rPr>
        <w:t xml:space="preserve">According to </w:t>
      </w:r>
      <w:r w:rsidR="0061468B" w:rsidRPr="007602DC">
        <w:rPr>
          <w:rFonts w:asciiTheme="majorBidi" w:hAnsiTheme="majorBidi" w:cstheme="majorBidi"/>
          <w:sz w:val="22"/>
        </w:rPr>
        <w:t>Zamani (2016)</w:t>
      </w:r>
      <w:r w:rsidR="00455E49" w:rsidRPr="007602DC">
        <w:rPr>
          <w:rFonts w:asciiTheme="majorBidi" w:hAnsiTheme="majorBidi" w:cstheme="majorBidi"/>
          <w:sz w:val="22"/>
        </w:rPr>
        <w:t>,</w:t>
      </w:r>
      <w:r w:rsidR="0061468B" w:rsidRPr="007602DC">
        <w:rPr>
          <w:rFonts w:asciiTheme="majorBidi" w:hAnsiTheme="majorBidi" w:cstheme="majorBidi"/>
          <w:sz w:val="22"/>
        </w:rPr>
        <w:t xml:space="preserve"> both high-ability and low-ability students in both homogeneous and heterogeneous groups ha</w:t>
      </w:r>
      <w:r w:rsidR="00B3125D" w:rsidRPr="007602DC">
        <w:rPr>
          <w:rFonts w:asciiTheme="majorBidi" w:hAnsiTheme="majorBidi" w:cstheme="majorBidi"/>
          <w:sz w:val="22"/>
        </w:rPr>
        <w:t>d</w:t>
      </w:r>
      <w:r w:rsidR="0061468B" w:rsidRPr="007602DC">
        <w:rPr>
          <w:rFonts w:asciiTheme="majorBidi" w:hAnsiTheme="majorBidi" w:cstheme="majorBidi"/>
          <w:sz w:val="22"/>
        </w:rPr>
        <w:t xml:space="preserve"> improved their writing ability through cooperation with either low or high proficient learners. </w:t>
      </w:r>
      <w:r w:rsidR="00B3125D" w:rsidRPr="007602DC">
        <w:rPr>
          <w:rFonts w:asciiTheme="majorBidi" w:hAnsiTheme="majorBidi" w:cstheme="majorBidi"/>
          <w:sz w:val="22"/>
        </w:rPr>
        <w:t xml:space="preserve">In addition, </w:t>
      </w:r>
      <w:r w:rsidR="0061468B" w:rsidRPr="007602DC">
        <w:rPr>
          <w:rFonts w:asciiTheme="majorBidi" w:hAnsiTheme="majorBidi" w:cstheme="majorBidi"/>
          <w:sz w:val="22"/>
        </w:rPr>
        <w:t xml:space="preserve">low </w:t>
      </w:r>
      <w:r w:rsidR="0061468B" w:rsidRPr="000458CF">
        <w:rPr>
          <w:rFonts w:asciiTheme="majorBidi" w:hAnsiTheme="majorBidi" w:cstheme="majorBidi"/>
          <w:sz w:val="22"/>
        </w:rPr>
        <w:t>proficient learners in heterogeneous groups benefitted more from cooperative learning comparing to high</w:t>
      </w:r>
      <w:r w:rsidR="004038DD" w:rsidRPr="000458CF">
        <w:rPr>
          <w:rFonts w:asciiTheme="majorBidi" w:hAnsiTheme="majorBidi" w:cstheme="majorBidi"/>
          <w:sz w:val="22"/>
        </w:rPr>
        <w:t>ly</w:t>
      </w:r>
      <w:r w:rsidR="0061468B" w:rsidRPr="000458CF">
        <w:rPr>
          <w:rFonts w:asciiTheme="majorBidi" w:hAnsiTheme="majorBidi" w:cstheme="majorBidi"/>
          <w:sz w:val="22"/>
        </w:rPr>
        <w:t xml:space="preserve"> proficient learners.</w:t>
      </w:r>
    </w:p>
    <w:p w14:paraId="74D44BDA" w14:textId="77777777" w:rsidR="00420618" w:rsidRPr="000458CF" w:rsidRDefault="00E97EC3" w:rsidP="00146C86">
      <w:pPr>
        <w:spacing w:after="120" w:line="240" w:lineRule="auto"/>
        <w:ind w:left="115" w:right="72" w:firstLine="562"/>
        <w:jc w:val="both"/>
        <w:rPr>
          <w:rFonts w:eastAsia="Calibri" w:cs="Times New Roman"/>
          <w:sz w:val="22"/>
        </w:rPr>
      </w:pPr>
      <w:r w:rsidRPr="000458CF">
        <w:rPr>
          <w:rFonts w:eastAsia="Calibri" w:cs="Times New Roman"/>
          <w:sz w:val="22"/>
        </w:rPr>
        <w:t>According to the aforementioned literature review, s</w:t>
      </w:r>
      <w:r w:rsidR="008C309C" w:rsidRPr="000458CF">
        <w:rPr>
          <w:rFonts w:eastAsia="Calibri" w:cs="Times New Roman"/>
          <w:sz w:val="22"/>
        </w:rPr>
        <w:t>ome</w:t>
      </w:r>
      <w:r w:rsidR="00420618" w:rsidRPr="000458CF">
        <w:rPr>
          <w:rFonts w:eastAsia="Calibri" w:cs="Times New Roman"/>
          <w:sz w:val="22"/>
        </w:rPr>
        <w:t xml:space="preserve"> studies have investigated the </w:t>
      </w:r>
      <w:r w:rsidR="00022AE3" w:rsidRPr="000458CF">
        <w:rPr>
          <w:rFonts w:eastAsia="Calibri" w:cs="Times New Roman"/>
          <w:sz w:val="22"/>
        </w:rPr>
        <w:t>role</w:t>
      </w:r>
      <w:r w:rsidR="00420618" w:rsidRPr="000458CF">
        <w:rPr>
          <w:rFonts w:eastAsia="Calibri" w:cs="Times New Roman"/>
          <w:sz w:val="22"/>
        </w:rPr>
        <w:t xml:space="preserve"> of streaming students based on their language abilities in their language </w:t>
      </w:r>
      <w:r w:rsidR="0021794C" w:rsidRPr="000458CF">
        <w:rPr>
          <w:rFonts w:eastAsia="Calibri" w:cs="Times New Roman"/>
          <w:sz w:val="22"/>
        </w:rPr>
        <w:t>achievement</w:t>
      </w:r>
      <w:r w:rsidR="008C309C" w:rsidRPr="000458CF">
        <w:rPr>
          <w:rFonts w:eastAsia="Calibri" w:cs="Times New Roman"/>
          <w:sz w:val="22"/>
        </w:rPr>
        <w:t xml:space="preserve"> (Miilrood, 2002; Tsao, 2003), while s</w:t>
      </w:r>
      <w:r w:rsidR="00420618" w:rsidRPr="000458CF">
        <w:rPr>
          <w:rFonts w:eastAsia="Calibri" w:cs="Times New Roman"/>
          <w:sz w:val="22"/>
        </w:rPr>
        <w:t xml:space="preserve">ome </w:t>
      </w:r>
      <w:r w:rsidR="008C309C" w:rsidRPr="000458CF">
        <w:rPr>
          <w:rFonts w:eastAsia="Calibri" w:cs="Times New Roman"/>
          <w:sz w:val="22"/>
        </w:rPr>
        <w:t xml:space="preserve">others </w:t>
      </w:r>
      <w:r w:rsidR="00420618" w:rsidRPr="000458CF">
        <w:rPr>
          <w:rFonts w:eastAsia="Calibri" w:cs="Times New Roman"/>
          <w:sz w:val="22"/>
        </w:rPr>
        <w:t>have addressed the r</w:t>
      </w:r>
      <w:r w:rsidR="00D22896" w:rsidRPr="000458CF">
        <w:rPr>
          <w:rFonts w:eastAsia="Calibri" w:cs="Times New Roman"/>
          <w:sz w:val="22"/>
        </w:rPr>
        <w:t>ole of applying the P</w:t>
      </w:r>
      <w:r w:rsidR="00420618" w:rsidRPr="000458CF">
        <w:rPr>
          <w:rFonts w:eastAsia="Calibri" w:cs="Times New Roman"/>
          <w:sz w:val="22"/>
        </w:rPr>
        <w:t xml:space="preserve">A in </w:t>
      </w:r>
      <w:r w:rsidR="009E2469" w:rsidRPr="000458CF">
        <w:rPr>
          <w:rFonts w:eastAsia="Calibri" w:cs="Times New Roman"/>
          <w:sz w:val="22"/>
        </w:rPr>
        <w:t>H</w:t>
      </w:r>
      <w:r w:rsidR="00420618" w:rsidRPr="000458CF">
        <w:rPr>
          <w:rFonts w:eastAsia="Calibri" w:cs="Times New Roman"/>
          <w:sz w:val="22"/>
        </w:rPr>
        <w:t xml:space="preserve">igher </w:t>
      </w:r>
      <w:r w:rsidR="009E2469" w:rsidRPr="000458CF">
        <w:rPr>
          <w:rFonts w:eastAsia="Calibri" w:cs="Times New Roman"/>
          <w:sz w:val="22"/>
        </w:rPr>
        <w:t>E</w:t>
      </w:r>
      <w:r w:rsidR="00420618" w:rsidRPr="000458CF">
        <w:rPr>
          <w:rFonts w:eastAsia="Calibri" w:cs="Times New Roman"/>
          <w:sz w:val="22"/>
        </w:rPr>
        <w:t>ducation (Bryson, 2014; Dunne &amp; Owen, 2013; HE Academy, 2015). However</w:t>
      </w:r>
      <w:r w:rsidR="00536083" w:rsidRPr="000458CF">
        <w:rPr>
          <w:rFonts w:eastAsia="Calibri" w:cs="Times New Roman"/>
          <w:sz w:val="22"/>
        </w:rPr>
        <w:t>, to the best of the researcher</w:t>
      </w:r>
      <w:r w:rsidR="00420618" w:rsidRPr="000458CF">
        <w:rPr>
          <w:rFonts w:eastAsia="Calibri" w:cs="Times New Roman"/>
          <w:sz w:val="22"/>
        </w:rPr>
        <w:t>s</w:t>
      </w:r>
      <w:r w:rsidR="00536083" w:rsidRPr="000458CF">
        <w:rPr>
          <w:rFonts w:eastAsia="Calibri" w:cs="Times New Roman"/>
          <w:sz w:val="22"/>
        </w:rPr>
        <w:t>'</w:t>
      </w:r>
      <w:r w:rsidR="00420618" w:rsidRPr="000458CF">
        <w:rPr>
          <w:rFonts w:eastAsia="Calibri" w:cs="Times New Roman"/>
          <w:sz w:val="22"/>
        </w:rPr>
        <w:t xml:space="preserve"> knowledge, there have been few studies investigating the impact of the simultaneous combination of </w:t>
      </w:r>
      <w:r w:rsidR="009E2469" w:rsidRPr="000458CF">
        <w:rPr>
          <w:rFonts w:eastAsia="Calibri" w:cs="Times New Roman"/>
          <w:sz w:val="22"/>
        </w:rPr>
        <w:t xml:space="preserve">the </w:t>
      </w:r>
      <w:r w:rsidR="00D22896" w:rsidRPr="000458CF">
        <w:rPr>
          <w:rFonts w:eastAsia="Calibri" w:cs="Times New Roman"/>
          <w:sz w:val="22"/>
        </w:rPr>
        <w:t>P</w:t>
      </w:r>
      <w:r w:rsidR="00420618" w:rsidRPr="000458CF">
        <w:rPr>
          <w:rFonts w:eastAsia="Calibri" w:cs="Times New Roman"/>
          <w:sz w:val="22"/>
        </w:rPr>
        <w:t xml:space="preserve">A and Streaming technique on the EFL learners’ language learning, especially on improving their speaking skill. </w:t>
      </w:r>
      <w:r w:rsidR="008C309C" w:rsidRPr="000458CF">
        <w:rPr>
          <w:rFonts w:eastAsia="Calibri" w:cs="Times New Roman"/>
          <w:sz w:val="22"/>
        </w:rPr>
        <w:t>Hence, i</w:t>
      </w:r>
      <w:r w:rsidR="00420618" w:rsidRPr="000458CF">
        <w:rPr>
          <w:rFonts w:eastAsia="Calibri" w:cs="Times New Roman"/>
          <w:sz w:val="22"/>
        </w:rPr>
        <w:t>n the present study, the foll</w:t>
      </w:r>
      <w:r w:rsidR="008233C1" w:rsidRPr="000458CF">
        <w:rPr>
          <w:rFonts w:eastAsia="Calibri" w:cs="Times New Roman"/>
          <w:sz w:val="22"/>
        </w:rPr>
        <w:t>owing questions were addressed.</w:t>
      </w:r>
    </w:p>
    <w:p w14:paraId="0F6EEEBF" w14:textId="77777777" w:rsidR="00420618" w:rsidRPr="000458CF" w:rsidRDefault="00420618" w:rsidP="00684DCB">
      <w:pPr>
        <w:widowControl w:val="0"/>
        <w:autoSpaceDE w:val="0"/>
        <w:autoSpaceDN w:val="0"/>
        <w:adjustRightInd w:val="0"/>
        <w:spacing w:after="120" w:line="240" w:lineRule="auto"/>
        <w:ind w:left="115" w:right="72"/>
        <w:jc w:val="both"/>
        <w:rPr>
          <w:rFonts w:eastAsia="Calibri" w:cs="Times New Roman"/>
          <w:sz w:val="22"/>
        </w:rPr>
      </w:pPr>
      <w:r w:rsidRPr="000458CF">
        <w:rPr>
          <w:rFonts w:eastAsia="Calibri" w:cs="Times New Roman"/>
          <w:sz w:val="22"/>
        </w:rPr>
        <w:t xml:space="preserve">1. Does implementing the Partnership Approach have any </w:t>
      </w:r>
      <w:r w:rsidR="002955A9" w:rsidRPr="000458CF">
        <w:rPr>
          <w:rFonts w:eastAsia="Calibri" w:cs="Times New Roman"/>
          <w:sz w:val="22"/>
        </w:rPr>
        <w:t xml:space="preserve">statistically </w:t>
      </w:r>
      <w:r w:rsidRPr="000458CF">
        <w:rPr>
          <w:rFonts w:eastAsia="Calibri" w:cs="Times New Roman"/>
          <w:sz w:val="22"/>
        </w:rPr>
        <w:t>significant impact on improving speaking skill of Iranian undergraduate EFL learners?</w:t>
      </w:r>
    </w:p>
    <w:p w14:paraId="2DC9D54D" w14:textId="77777777" w:rsidR="007D06CF" w:rsidRDefault="00420618" w:rsidP="00684DCB">
      <w:pPr>
        <w:pStyle w:val="CommentText"/>
        <w:spacing w:after="120"/>
        <w:ind w:left="115" w:right="72"/>
        <w:jc w:val="both"/>
      </w:pPr>
      <w:r w:rsidRPr="000458CF">
        <w:rPr>
          <w:rFonts w:eastAsia="Calibri" w:cs="Times New Roman"/>
          <w:sz w:val="22"/>
          <w:szCs w:val="22"/>
        </w:rPr>
        <w:t xml:space="preserve">2. </w:t>
      </w:r>
      <w:r w:rsidR="007D06CF" w:rsidRPr="000458CF">
        <w:rPr>
          <w:sz w:val="22"/>
          <w:szCs w:val="22"/>
        </w:rPr>
        <w:t xml:space="preserve">Is there any </w:t>
      </w:r>
      <w:r w:rsidR="006E0B90" w:rsidRPr="000458CF">
        <w:rPr>
          <w:sz w:val="22"/>
          <w:szCs w:val="22"/>
        </w:rPr>
        <w:t xml:space="preserve">statistical </w:t>
      </w:r>
      <w:r w:rsidR="007D06CF" w:rsidRPr="000458CF">
        <w:rPr>
          <w:sz w:val="22"/>
          <w:szCs w:val="22"/>
        </w:rPr>
        <w:t xml:space="preserve">significant interaction between </w:t>
      </w:r>
      <w:r w:rsidR="00E92EC1" w:rsidRPr="000458CF">
        <w:rPr>
          <w:sz w:val="22"/>
          <w:szCs w:val="22"/>
        </w:rPr>
        <w:t xml:space="preserve">the </w:t>
      </w:r>
      <w:r w:rsidR="007D06CF" w:rsidRPr="000458CF">
        <w:rPr>
          <w:sz w:val="22"/>
          <w:szCs w:val="22"/>
        </w:rPr>
        <w:t xml:space="preserve">learners' level of </w:t>
      </w:r>
      <w:r w:rsidR="00E92EC1" w:rsidRPr="000458CF">
        <w:rPr>
          <w:sz w:val="22"/>
          <w:szCs w:val="22"/>
        </w:rPr>
        <w:t>language-ability</w:t>
      </w:r>
      <w:r w:rsidR="007D06CF" w:rsidRPr="000458CF">
        <w:rPr>
          <w:sz w:val="22"/>
          <w:szCs w:val="22"/>
        </w:rPr>
        <w:t xml:space="preserve"> and </w:t>
      </w:r>
      <w:r w:rsidR="007D06CF" w:rsidRPr="000458CF">
        <w:rPr>
          <w:rFonts w:eastAsia="Calibri" w:cs="Times New Roman"/>
          <w:sz w:val="22"/>
          <w:szCs w:val="22"/>
        </w:rPr>
        <w:t>implementing the Partnership Approach with regard to speaking</w:t>
      </w:r>
      <w:r w:rsidR="007D06CF">
        <w:rPr>
          <w:rFonts w:eastAsia="Calibri" w:cs="Times New Roman"/>
          <w:sz w:val="22"/>
        </w:rPr>
        <w:t xml:space="preserve"> skill?</w:t>
      </w:r>
    </w:p>
    <w:p w14:paraId="3308C27D" w14:textId="77777777" w:rsidR="002A4940" w:rsidRPr="00146C86" w:rsidRDefault="002A4940" w:rsidP="00146C86">
      <w:pPr>
        <w:spacing w:after="120" w:line="240" w:lineRule="auto"/>
        <w:jc w:val="both"/>
        <w:rPr>
          <w:rFonts w:asciiTheme="majorBidi" w:hAnsiTheme="majorBidi" w:cstheme="majorBidi"/>
          <w:b/>
          <w:bCs/>
          <w:sz w:val="22"/>
        </w:rPr>
      </w:pPr>
      <w:r w:rsidRPr="00146C86">
        <w:rPr>
          <w:rFonts w:asciiTheme="majorBidi" w:hAnsiTheme="majorBidi" w:cstheme="majorBidi"/>
          <w:b/>
          <w:bCs/>
          <w:sz w:val="22"/>
        </w:rPr>
        <w:t>3. Methodology</w:t>
      </w:r>
    </w:p>
    <w:p w14:paraId="721A153E" w14:textId="77777777" w:rsidR="002A4940" w:rsidRPr="00E93D2F" w:rsidRDefault="00E93D2F" w:rsidP="00E93D2F">
      <w:pPr>
        <w:autoSpaceDE w:val="0"/>
        <w:autoSpaceDN w:val="0"/>
        <w:adjustRightInd w:val="0"/>
        <w:spacing w:after="120" w:line="240" w:lineRule="auto"/>
        <w:jc w:val="both"/>
        <w:rPr>
          <w:rFonts w:asciiTheme="majorBidi" w:hAnsiTheme="majorBidi" w:cstheme="majorBidi"/>
          <w:i/>
          <w:iCs/>
          <w:sz w:val="22"/>
        </w:rPr>
      </w:pPr>
      <w:r>
        <w:rPr>
          <w:rFonts w:asciiTheme="majorBidi" w:hAnsiTheme="majorBidi" w:cstheme="majorBidi"/>
          <w:i/>
          <w:iCs/>
          <w:sz w:val="22"/>
        </w:rPr>
        <w:t>3.</w:t>
      </w:r>
      <w:r w:rsidR="002A4940" w:rsidRPr="00E93D2F">
        <w:rPr>
          <w:rFonts w:asciiTheme="majorBidi" w:hAnsiTheme="majorBidi" w:cstheme="majorBidi"/>
          <w:i/>
          <w:iCs/>
          <w:sz w:val="22"/>
        </w:rPr>
        <w:t xml:space="preserve">1. </w:t>
      </w:r>
      <w:r w:rsidR="004F5653" w:rsidRPr="00E93D2F">
        <w:rPr>
          <w:rFonts w:asciiTheme="majorBidi" w:hAnsiTheme="majorBidi" w:cstheme="majorBidi"/>
          <w:i/>
          <w:iCs/>
          <w:sz w:val="22"/>
        </w:rPr>
        <w:t>Design and Context of the Study</w:t>
      </w:r>
    </w:p>
    <w:p w14:paraId="6DADD193" w14:textId="77777777" w:rsidR="00D924AA" w:rsidRPr="007A19B8" w:rsidRDefault="008E08F0" w:rsidP="00E93D2F">
      <w:pPr>
        <w:spacing w:after="120" w:line="240" w:lineRule="auto"/>
        <w:ind w:left="115" w:right="72"/>
        <w:jc w:val="both"/>
        <w:rPr>
          <w:rFonts w:eastAsia="Calibri"/>
          <w:sz w:val="22"/>
        </w:rPr>
      </w:pPr>
      <w:r w:rsidRPr="00F73E1A">
        <w:rPr>
          <w:sz w:val="22"/>
        </w:rPr>
        <w:t xml:space="preserve">The </w:t>
      </w:r>
      <w:r w:rsidR="00AF265D" w:rsidRPr="00F73E1A">
        <w:rPr>
          <w:sz w:val="22"/>
        </w:rPr>
        <w:t>present study was</w:t>
      </w:r>
      <w:r w:rsidRPr="00F73E1A">
        <w:rPr>
          <w:sz w:val="22"/>
        </w:rPr>
        <w:t xml:space="preserve"> a quasi-experimental research study. </w:t>
      </w:r>
      <w:r w:rsidR="00652813">
        <w:rPr>
          <w:rFonts w:eastAsia="Calibri"/>
          <w:sz w:val="22"/>
        </w:rPr>
        <w:t xml:space="preserve">The study comprised both mixed-ability and streamed groups of students regarding their language abilities in six groups, three high, low, and mixed-ability groups as experimental groups, and three high, low, and mixed-ability groups as control groups. </w:t>
      </w:r>
      <w:r w:rsidR="007A19B8">
        <w:rPr>
          <w:rFonts w:eastAsia="Calibri"/>
          <w:sz w:val="22"/>
        </w:rPr>
        <w:t>The students in the control groups</w:t>
      </w:r>
      <w:r w:rsidR="007A19B8" w:rsidRPr="007A19B8">
        <w:rPr>
          <w:rFonts w:eastAsia="Calibri"/>
          <w:sz w:val="22"/>
        </w:rPr>
        <w:t xml:space="preserve"> were taught by the method traditionally used by the teacher in </w:t>
      </w:r>
      <w:r w:rsidR="007A19B8">
        <w:rPr>
          <w:rFonts w:eastAsia="Calibri"/>
          <w:sz w:val="22"/>
        </w:rPr>
        <w:t>speaking</w:t>
      </w:r>
      <w:r w:rsidR="007A19B8" w:rsidRPr="007A19B8">
        <w:rPr>
          <w:rFonts w:eastAsia="Calibri"/>
          <w:sz w:val="22"/>
        </w:rPr>
        <w:t xml:space="preserve"> classes</w:t>
      </w:r>
      <w:r w:rsidR="007A19B8">
        <w:rPr>
          <w:rFonts w:eastAsia="Calibri"/>
          <w:sz w:val="22"/>
        </w:rPr>
        <w:t>, while PA was used as the independent variable</w:t>
      </w:r>
      <w:r w:rsidR="007A19B8" w:rsidRPr="007A19B8">
        <w:rPr>
          <w:rFonts w:eastAsia="Calibri"/>
          <w:sz w:val="22"/>
        </w:rPr>
        <w:t xml:space="preserve"> </w:t>
      </w:r>
      <w:r w:rsidR="007A19B8">
        <w:rPr>
          <w:rFonts w:eastAsia="Calibri"/>
          <w:sz w:val="22"/>
        </w:rPr>
        <w:t>(</w:t>
      </w:r>
      <w:r w:rsidR="007A19B8" w:rsidRPr="007A19B8">
        <w:rPr>
          <w:rFonts w:eastAsia="Calibri"/>
          <w:sz w:val="22"/>
        </w:rPr>
        <w:t>treatment</w:t>
      </w:r>
      <w:r w:rsidR="007A19B8">
        <w:rPr>
          <w:rFonts w:eastAsia="Calibri"/>
          <w:sz w:val="22"/>
        </w:rPr>
        <w:t xml:space="preserve">) for the students in the experimental groups, </w:t>
      </w:r>
      <w:r w:rsidR="007A19B8" w:rsidRPr="007A19B8">
        <w:rPr>
          <w:rFonts w:eastAsia="Calibri"/>
          <w:sz w:val="22"/>
        </w:rPr>
        <w:t>and the extent to which the students developed their speaking ability was the dependent variable. Regarding the language skill under investigation, pretests were run to ensure the comparability of the students before beginning the experiment, and to minimize the test bias. Posttests were also run to examine the impact of the treatment.</w:t>
      </w:r>
      <w:r w:rsidR="007A19B8">
        <w:rPr>
          <w:rFonts w:eastAsia="Calibri"/>
          <w:sz w:val="22"/>
        </w:rPr>
        <w:t xml:space="preserve"> </w:t>
      </w:r>
      <w:r w:rsidR="008E2174" w:rsidRPr="00F73E1A">
        <w:rPr>
          <w:sz w:val="22"/>
        </w:rPr>
        <w:t>The study was accomplished in the Engl</w:t>
      </w:r>
      <w:r w:rsidR="00BA4C99" w:rsidRPr="00F73E1A">
        <w:rPr>
          <w:sz w:val="22"/>
        </w:rPr>
        <w:t xml:space="preserve">ish department at </w:t>
      </w:r>
      <w:r w:rsidR="00E93D2F">
        <w:rPr>
          <w:sz w:val="22"/>
        </w:rPr>
        <w:t>a university in Iran, which is a</w:t>
      </w:r>
      <w:r w:rsidR="00AF265D" w:rsidRPr="00F73E1A">
        <w:rPr>
          <w:sz w:val="22"/>
        </w:rPr>
        <w:t xml:space="preserve"> foreign language learning setting. </w:t>
      </w:r>
      <w:r w:rsidR="008E2174" w:rsidRPr="00F73E1A">
        <w:rPr>
          <w:sz w:val="22"/>
        </w:rPr>
        <w:t xml:space="preserve">In addition to the availability of </w:t>
      </w:r>
      <w:r w:rsidR="00DD73B1" w:rsidRPr="00F73E1A">
        <w:rPr>
          <w:sz w:val="22"/>
        </w:rPr>
        <w:t xml:space="preserve">the </w:t>
      </w:r>
      <w:r w:rsidR="008E2174" w:rsidRPr="00F73E1A">
        <w:rPr>
          <w:sz w:val="22"/>
        </w:rPr>
        <w:t xml:space="preserve">sufficient number of EFL undergraduate students and the required facilities, </w:t>
      </w:r>
      <w:r w:rsidR="003153E2" w:rsidRPr="00F73E1A">
        <w:rPr>
          <w:sz w:val="22"/>
        </w:rPr>
        <w:t xml:space="preserve">the </w:t>
      </w:r>
      <w:r w:rsidR="00BF5146" w:rsidRPr="00F73E1A">
        <w:rPr>
          <w:sz w:val="22"/>
        </w:rPr>
        <w:t>IAU,</w:t>
      </w:r>
      <w:r w:rsidR="008E2174" w:rsidRPr="00F73E1A">
        <w:rPr>
          <w:sz w:val="22"/>
        </w:rPr>
        <w:t xml:space="preserve"> Najafabad </w:t>
      </w:r>
      <w:r w:rsidR="00BF5146" w:rsidRPr="00F73E1A">
        <w:rPr>
          <w:sz w:val="22"/>
        </w:rPr>
        <w:t xml:space="preserve">Branch </w:t>
      </w:r>
      <w:r w:rsidR="008E2174" w:rsidRPr="00F73E1A">
        <w:rPr>
          <w:sz w:val="22"/>
        </w:rPr>
        <w:t>was selected as the context of the study to contextualize the main issues addressed in the study and make the study as authentic as possible.</w:t>
      </w:r>
      <w:r w:rsidR="00A0316A" w:rsidRPr="00F73E1A">
        <w:rPr>
          <w:sz w:val="22"/>
        </w:rPr>
        <w:t xml:space="preserve"> The study was completed in the period between February 2018 and July 2018.</w:t>
      </w:r>
      <w:r w:rsidR="00766257">
        <w:rPr>
          <w:sz w:val="22"/>
        </w:rPr>
        <w:t xml:space="preserve"> </w:t>
      </w:r>
    </w:p>
    <w:p w14:paraId="404DDD87" w14:textId="77777777" w:rsidR="002A4940" w:rsidRPr="00E93D2F" w:rsidRDefault="00E93D2F" w:rsidP="00E93D2F">
      <w:pPr>
        <w:autoSpaceDE w:val="0"/>
        <w:autoSpaceDN w:val="0"/>
        <w:adjustRightInd w:val="0"/>
        <w:spacing w:after="120" w:line="240" w:lineRule="auto"/>
        <w:jc w:val="both"/>
        <w:rPr>
          <w:rFonts w:asciiTheme="majorBidi" w:hAnsiTheme="majorBidi" w:cstheme="majorBidi"/>
          <w:i/>
          <w:iCs/>
          <w:sz w:val="22"/>
        </w:rPr>
      </w:pPr>
      <w:r>
        <w:rPr>
          <w:rFonts w:asciiTheme="majorBidi" w:hAnsiTheme="majorBidi" w:cstheme="majorBidi"/>
          <w:i/>
          <w:iCs/>
          <w:sz w:val="22"/>
        </w:rPr>
        <w:t>3.2</w:t>
      </w:r>
      <w:r w:rsidR="002A4940" w:rsidRPr="00E93D2F">
        <w:rPr>
          <w:rFonts w:asciiTheme="majorBidi" w:hAnsiTheme="majorBidi" w:cstheme="majorBidi"/>
          <w:i/>
          <w:iCs/>
          <w:sz w:val="22"/>
        </w:rPr>
        <w:t xml:space="preserve">. </w:t>
      </w:r>
      <w:r w:rsidR="00BA71A0" w:rsidRPr="00E93D2F">
        <w:rPr>
          <w:rFonts w:asciiTheme="majorBidi" w:hAnsiTheme="majorBidi" w:cstheme="majorBidi"/>
          <w:i/>
          <w:iCs/>
          <w:sz w:val="22"/>
        </w:rPr>
        <w:t>Participants</w:t>
      </w:r>
      <w:r w:rsidR="00B97568" w:rsidRPr="00E93D2F">
        <w:rPr>
          <w:rFonts w:asciiTheme="majorBidi" w:hAnsiTheme="majorBidi" w:cstheme="majorBidi"/>
          <w:i/>
          <w:iCs/>
          <w:sz w:val="22"/>
        </w:rPr>
        <w:t xml:space="preserve"> </w:t>
      </w:r>
    </w:p>
    <w:p w14:paraId="063857E4" w14:textId="77777777" w:rsidR="007F180E" w:rsidRDefault="00A93B90" w:rsidP="00E93D2F">
      <w:pPr>
        <w:spacing w:after="120" w:line="240" w:lineRule="auto"/>
        <w:ind w:left="115" w:right="72"/>
        <w:jc w:val="both"/>
        <w:rPr>
          <w:sz w:val="22"/>
        </w:rPr>
      </w:pPr>
      <w:r w:rsidRPr="007602DC">
        <w:rPr>
          <w:sz w:val="22"/>
        </w:rPr>
        <w:t>N</w:t>
      </w:r>
      <w:r w:rsidR="00BB0955" w:rsidRPr="007602DC">
        <w:rPr>
          <w:sz w:val="22"/>
        </w:rPr>
        <w:t>on-probability sampling technique (convenience/opportunity sampling) was utilized for its conven</w:t>
      </w:r>
      <w:r w:rsidR="00676223" w:rsidRPr="007602DC">
        <w:rPr>
          <w:sz w:val="22"/>
        </w:rPr>
        <w:t xml:space="preserve">ience. </w:t>
      </w:r>
      <w:r w:rsidR="00437FB9" w:rsidRPr="007602DC">
        <w:rPr>
          <w:rFonts w:eastAsia="Calibri"/>
          <w:sz w:val="22"/>
        </w:rPr>
        <w:t xml:space="preserve">In order to take care of possible attrition, </w:t>
      </w:r>
      <w:r w:rsidR="00652813" w:rsidRPr="00652813">
        <w:rPr>
          <w:rFonts w:eastAsia="Calibri"/>
          <w:sz w:val="22"/>
        </w:rPr>
        <w:t xml:space="preserve">from the total population of </w:t>
      </w:r>
      <w:r w:rsidR="00F436F7">
        <w:rPr>
          <w:rFonts w:eastAsia="Calibri"/>
          <w:sz w:val="22"/>
        </w:rPr>
        <w:t xml:space="preserve">Iranian </w:t>
      </w:r>
      <w:r w:rsidR="00652813" w:rsidRPr="00652813">
        <w:rPr>
          <w:rFonts w:eastAsia="Calibri"/>
          <w:sz w:val="22"/>
        </w:rPr>
        <w:t>undergraduate students at IAU-Najafabad Branch</w:t>
      </w:r>
      <w:r w:rsidR="00F436F7">
        <w:rPr>
          <w:rFonts w:eastAsia="Calibri"/>
          <w:sz w:val="22"/>
        </w:rPr>
        <w:t xml:space="preserve"> who were majoring in TEFL</w:t>
      </w:r>
      <w:r w:rsidR="00652813">
        <w:rPr>
          <w:rFonts w:eastAsia="Calibri"/>
          <w:sz w:val="22"/>
        </w:rPr>
        <w:t>,</w:t>
      </w:r>
      <w:r w:rsidR="00652813" w:rsidRPr="00652813">
        <w:rPr>
          <w:rFonts w:eastAsia="Calibri"/>
          <w:sz w:val="22"/>
        </w:rPr>
        <w:t xml:space="preserve"> 90 students were randomly selected. An O</w:t>
      </w:r>
      <w:r w:rsidR="009D3C4A">
        <w:rPr>
          <w:rFonts w:eastAsia="Calibri"/>
          <w:sz w:val="22"/>
        </w:rPr>
        <w:t>Q</w:t>
      </w:r>
      <w:r w:rsidR="00652813" w:rsidRPr="00652813">
        <w:rPr>
          <w:rFonts w:eastAsia="Calibri"/>
          <w:sz w:val="22"/>
        </w:rPr>
        <w:t xml:space="preserve">PT was run, and based on the results of the test, </w:t>
      </w:r>
      <w:r w:rsidR="00F93DFD">
        <w:rPr>
          <w:rFonts w:eastAsia="Calibri"/>
          <w:sz w:val="22"/>
        </w:rPr>
        <w:t xml:space="preserve">72 students participated in the study. </w:t>
      </w:r>
      <w:r w:rsidR="00652813" w:rsidRPr="00652813">
        <w:rPr>
          <w:rFonts w:eastAsia="Calibri"/>
          <w:sz w:val="22"/>
        </w:rPr>
        <w:t xml:space="preserve">Twelve high language-ability, 12 low language-ability, and 12 mixed language-ability students were </w:t>
      </w:r>
      <w:r w:rsidR="009D3C4A">
        <w:rPr>
          <w:rFonts w:eastAsia="Calibri"/>
          <w:sz w:val="22"/>
        </w:rPr>
        <w:t>participated in</w:t>
      </w:r>
      <w:r w:rsidR="00652813" w:rsidRPr="00652813">
        <w:rPr>
          <w:rFonts w:eastAsia="Calibri"/>
          <w:sz w:val="22"/>
        </w:rPr>
        <w:t xml:space="preserve"> three experimental groups. </w:t>
      </w:r>
      <w:r w:rsidR="009D3C4A">
        <w:rPr>
          <w:rFonts w:eastAsia="Calibri"/>
          <w:sz w:val="22"/>
        </w:rPr>
        <w:t>The</w:t>
      </w:r>
      <w:r w:rsidR="00652813" w:rsidRPr="00652813">
        <w:rPr>
          <w:rFonts w:eastAsia="Calibri"/>
          <w:sz w:val="22"/>
        </w:rPr>
        <w:t xml:space="preserve"> three control groups </w:t>
      </w:r>
      <w:r w:rsidR="009D3C4A">
        <w:rPr>
          <w:rFonts w:eastAsia="Calibri"/>
          <w:sz w:val="22"/>
        </w:rPr>
        <w:t xml:space="preserve">were also formed </w:t>
      </w:r>
      <w:r w:rsidR="00652813" w:rsidRPr="00652813">
        <w:rPr>
          <w:rFonts w:eastAsia="Calibri"/>
          <w:sz w:val="22"/>
        </w:rPr>
        <w:t xml:space="preserve">on the same basis. </w:t>
      </w:r>
      <w:r w:rsidR="00FA6CC0" w:rsidRPr="007602DC">
        <w:rPr>
          <w:sz w:val="22"/>
        </w:rPr>
        <w:t xml:space="preserve">They were </w:t>
      </w:r>
      <w:r w:rsidR="00F436F7">
        <w:rPr>
          <w:sz w:val="22"/>
        </w:rPr>
        <w:t xml:space="preserve">male and </w:t>
      </w:r>
      <w:r w:rsidR="009D3C4A">
        <w:rPr>
          <w:sz w:val="22"/>
        </w:rPr>
        <w:t>female students</w:t>
      </w:r>
      <w:r w:rsidR="00FA6CC0" w:rsidRPr="007602DC">
        <w:rPr>
          <w:sz w:val="22"/>
        </w:rPr>
        <w:t xml:space="preserve"> and their ages ranged </w:t>
      </w:r>
      <w:r w:rsidR="009D3C4A">
        <w:rPr>
          <w:sz w:val="22"/>
        </w:rPr>
        <w:t>from</w:t>
      </w:r>
      <w:r w:rsidR="00FA6CC0" w:rsidRPr="007602DC">
        <w:rPr>
          <w:sz w:val="22"/>
        </w:rPr>
        <w:t xml:space="preserve"> 19 </w:t>
      </w:r>
      <w:r w:rsidR="009D3C4A">
        <w:rPr>
          <w:sz w:val="22"/>
        </w:rPr>
        <w:t>to</w:t>
      </w:r>
      <w:r w:rsidR="00FA6CC0" w:rsidRPr="007602DC">
        <w:rPr>
          <w:sz w:val="22"/>
        </w:rPr>
        <w:t xml:space="preserve"> 24.</w:t>
      </w:r>
      <w:r w:rsidR="00967710" w:rsidRPr="007602DC">
        <w:rPr>
          <w:sz w:val="22"/>
        </w:rPr>
        <w:t xml:space="preserve"> </w:t>
      </w:r>
    </w:p>
    <w:p w14:paraId="0B84DA82" w14:textId="77777777" w:rsidR="00295A95" w:rsidRPr="007602DC" w:rsidRDefault="00295A95" w:rsidP="00E93D2F">
      <w:pPr>
        <w:spacing w:after="120" w:line="240" w:lineRule="auto"/>
        <w:ind w:left="115" w:right="72"/>
        <w:jc w:val="both"/>
        <w:rPr>
          <w:sz w:val="22"/>
        </w:rPr>
      </w:pPr>
    </w:p>
    <w:p w14:paraId="3A90831F" w14:textId="77777777" w:rsidR="007F180E" w:rsidRPr="00E93D2F" w:rsidRDefault="00E93D2F" w:rsidP="00E93D2F">
      <w:pPr>
        <w:autoSpaceDE w:val="0"/>
        <w:autoSpaceDN w:val="0"/>
        <w:adjustRightInd w:val="0"/>
        <w:spacing w:after="120" w:line="240" w:lineRule="auto"/>
        <w:jc w:val="both"/>
        <w:rPr>
          <w:rFonts w:asciiTheme="majorBidi" w:hAnsiTheme="majorBidi" w:cstheme="majorBidi"/>
          <w:i/>
          <w:iCs/>
          <w:sz w:val="22"/>
        </w:rPr>
      </w:pPr>
      <w:r>
        <w:rPr>
          <w:rFonts w:asciiTheme="majorBidi" w:hAnsiTheme="majorBidi" w:cstheme="majorBidi"/>
          <w:i/>
          <w:iCs/>
          <w:sz w:val="22"/>
        </w:rPr>
        <w:lastRenderedPageBreak/>
        <w:t>3.3</w:t>
      </w:r>
      <w:r w:rsidR="008233C1" w:rsidRPr="00E93D2F">
        <w:rPr>
          <w:rFonts w:asciiTheme="majorBidi" w:hAnsiTheme="majorBidi" w:cstheme="majorBidi"/>
          <w:i/>
          <w:iCs/>
          <w:sz w:val="22"/>
        </w:rPr>
        <w:t>. Instruments</w:t>
      </w:r>
    </w:p>
    <w:p w14:paraId="55030611" w14:textId="77777777" w:rsidR="001F1C25" w:rsidRPr="006923EC" w:rsidRDefault="002D237C" w:rsidP="00E93D2F">
      <w:pPr>
        <w:widowControl w:val="0"/>
        <w:autoSpaceDE w:val="0"/>
        <w:autoSpaceDN w:val="0"/>
        <w:adjustRightInd w:val="0"/>
        <w:spacing w:after="120" w:line="240" w:lineRule="auto"/>
        <w:ind w:left="115" w:right="72"/>
        <w:jc w:val="both"/>
        <w:rPr>
          <w:rFonts w:eastAsia="Calibri" w:cs="Times New Roman"/>
          <w:sz w:val="22"/>
          <w:lang w:bidi="fa-IR"/>
        </w:rPr>
      </w:pPr>
      <w:r w:rsidRPr="007E5185">
        <w:rPr>
          <w:rFonts w:eastAsia="Calibri" w:cs="Times New Roman"/>
          <w:sz w:val="22"/>
          <w:lang w:bidi="fa-IR"/>
        </w:rPr>
        <w:t>An</w:t>
      </w:r>
      <w:r w:rsidR="004C7409" w:rsidRPr="007E5185">
        <w:rPr>
          <w:rFonts w:eastAsia="Calibri" w:cs="Times New Roman"/>
          <w:sz w:val="22"/>
          <w:lang w:bidi="fa-IR"/>
        </w:rPr>
        <w:t xml:space="preserve"> </w:t>
      </w:r>
      <w:r w:rsidR="00115EDC" w:rsidRPr="007E5185">
        <w:rPr>
          <w:rFonts w:eastAsia="Calibri" w:cs="Times New Roman"/>
          <w:sz w:val="22"/>
          <w:lang w:bidi="fa-IR"/>
        </w:rPr>
        <w:t>O</w:t>
      </w:r>
      <w:r w:rsidR="009D3C4A">
        <w:rPr>
          <w:rFonts w:eastAsia="Calibri" w:cs="Times New Roman"/>
          <w:sz w:val="22"/>
          <w:lang w:bidi="fa-IR"/>
        </w:rPr>
        <w:t>Q</w:t>
      </w:r>
      <w:r w:rsidR="00115EDC" w:rsidRPr="007E5185">
        <w:rPr>
          <w:rFonts w:eastAsia="Calibri" w:cs="Times New Roman"/>
          <w:sz w:val="22"/>
          <w:lang w:bidi="fa-IR"/>
        </w:rPr>
        <w:t>PT</w:t>
      </w:r>
      <w:r w:rsidR="004A04C6">
        <w:rPr>
          <w:rFonts w:eastAsia="Calibri" w:cs="Times New Roman"/>
          <w:sz w:val="22"/>
          <w:lang w:bidi="fa-IR"/>
        </w:rPr>
        <w:t xml:space="preserve"> (version 1</w:t>
      </w:r>
      <w:r w:rsidR="00051199">
        <w:rPr>
          <w:rFonts w:eastAsia="Calibri" w:cs="Times New Roman"/>
          <w:sz w:val="22"/>
          <w:lang w:bidi="fa-IR"/>
        </w:rPr>
        <w:t xml:space="preserve">) </w:t>
      </w:r>
      <w:r w:rsidR="00051199" w:rsidRPr="007E5185">
        <w:rPr>
          <w:rFonts w:eastAsia="Calibri" w:cs="Times New Roman"/>
          <w:sz w:val="22"/>
          <w:lang w:bidi="fa-IR"/>
        </w:rPr>
        <w:t>was</w:t>
      </w:r>
      <w:r w:rsidR="004C7409" w:rsidRPr="007E5185">
        <w:rPr>
          <w:rFonts w:eastAsia="Calibri" w:cs="Times New Roman"/>
          <w:sz w:val="22"/>
          <w:lang w:bidi="fa-IR"/>
        </w:rPr>
        <w:t xml:space="preserve"> </w:t>
      </w:r>
      <w:r w:rsidR="00B37009" w:rsidRPr="007E5185">
        <w:rPr>
          <w:rFonts w:eastAsia="Calibri" w:cs="Times New Roman"/>
          <w:sz w:val="22"/>
          <w:lang w:bidi="fa-IR"/>
        </w:rPr>
        <w:t>employed as a criterion for grouping the students based on the</w:t>
      </w:r>
      <w:r w:rsidR="00D01724">
        <w:rPr>
          <w:rFonts w:eastAsia="Calibri" w:cs="Times New Roman"/>
          <w:sz w:val="22"/>
          <w:lang w:bidi="fa-IR"/>
        </w:rPr>
        <w:t xml:space="preserve"> scores they earned on the test</w:t>
      </w:r>
      <w:r w:rsidR="004C7409" w:rsidRPr="007E5185">
        <w:rPr>
          <w:rFonts w:asciiTheme="majorBidi" w:eastAsia="Calibri" w:hAnsiTheme="majorBidi" w:cstheme="majorBidi"/>
          <w:sz w:val="22"/>
          <w:lang w:bidi="fa-IR"/>
        </w:rPr>
        <w:t>.</w:t>
      </w:r>
      <w:r w:rsidR="004C7409" w:rsidRPr="007E5185">
        <w:rPr>
          <w:rFonts w:asciiTheme="majorBidi" w:eastAsia="Times New Roman" w:hAnsiTheme="majorBidi" w:cstheme="majorBidi"/>
          <w:sz w:val="22"/>
          <w:lang w:bidi="fa-IR"/>
        </w:rPr>
        <w:t xml:space="preserve"> </w:t>
      </w:r>
      <w:r w:rsidR="00FA6CC0" w:rsidRPr="007E5185">
        <w:rPr>
          <w:rFonts w:asciiTheme="majorBidi" w:eastAsia="Times New Roman" w:hAnsiTheme="majorBidi" w:cstheme="majorBidi"/>
          <w:sz w:val="22"/>
          <w:lang w:bidi="fa-IR"/>
        </w:rPr>
        <w:t>It</w:t>
      </w:r>
      <w:r w:rsidR="004C7409" w:rsidRPr="007E5185">
        <w:rPr>
          <w:rFonts w:eastAsia="Calibri" w:cs="Times New Roman"/>
          <w:sz w:val="22"/>
          <w:lang w:bidi="fa-IR"/>
        </w:rPr>
        <w:t xml:space="preserve"> consisted of </w:t>
      </w:r>
      <w:r w:rsidR="009D3C4A">
        <w:rPr>
          <w:rFonts w:eastAsia="Calibri" w:cs="Times New Roman"/>
          <w:sz w:val="22"/>
          <w:lang w:bidi="fa-IR"/>
        </w:rPr>
        <w:t>60</w:t>
      </w:r>
      <w:r w:rsidR="004C7409" w:rsidRPr="007E5185">
        <w:rPr>
          <w:rFonts w:eastAsia="Calibri" w:cs="Times New Roman"/>
          <w:sz w:val="22"/>
          <w:lang w:bidi="fa-IR"/>
        </w:rPr>
        <w:t xml:space="preserve"> multiple-choice test items on vocabulary, structure, and reading comprehension. Each correct answer received</w:t>
      </w:r>
      <w:r w:rsidR="006772E3" w:rsidRPr="007E5185">
        <w:rPr>
          <w:rFonts w:eastAsia="Calibri" w:cs="Times New Roman"/>
          <w:sz w:val="22"/>
          <w:lang w:bidi="fa-IR"/>
        </w:rPr>
        <w:t xml:space="preserve"> one mark</w:t>
      </w:r>
      <w:r w:rsidR="004C7409" w:rsidRPr="007E5185">
        <w:rPr>
          <w:rFonts w:eastAsia="Calibri" w:cs="Times New Roman"/>
          <w:sz w:val="22"/>
          <w:lang w:bidi="fa-IR"/>
        </w:rPr>
        <w:t xml:space="preserve"> so that the total test score was </w:t>
      </w:r>
      <w:r w:rsidR="009D3C4A">
        <w:rPr>
          <w:rFonts w:eastAsia="Calibri" w:cs="Times New Roman"/>
          <w:sz w:val="22"/>
          <w:lang w:bidi="fa-IR"/>
        </w:rPr>
        <w:t>60</w:t>
      </w:r>
      <w:r w:rsidR="004C7409" w:rsidRPr="007E5185">
        <w:rPr>
          <w:rFonts w:eastAsia="Calibri" w:cs="Times New Roman"/>
          <w:sz w:val="22"/>
          <w:lang w:bidi="fa-IR"/>
        </w:rPr>
        <w:t xml:space="preserve"> respectively. The second test was a</w:t>
      </w:r>
      <w:r w:rsidR="005352E0">
        <w:rPr>
          <w:rFonts w:eastAsia="Calibri" w:cs="Times New Roman"/>
          <w:sz w:val="22"/>
          <w:lang w:bidi="fa-IR"/>
        </w:rPr>
        <w:t>n</w:t>
      </w:r>
      <w:r w:rsidR="004C7409" w:rsidRPr="007E5185">
        <w:rPr>
          <w:rFonts w:eastAsia="Calibri" w:cs="Times New Roman"/>
          <w:sz w:val="22"/>
          <w:lang w:bidi="fa-IR"/>
        </w:rPr>
        <w:t xml:space="preserve"> IELTS </w:t>
      </w:r>
      <w:r w:rsidR="005352E0" w:rsidRPr="005352E0">
        <w:rPr>
          <w:rFonts w:eastAsia="Calibri" w:cs="Times New Roman"/>
          <w:sz w:val="22"/>
          <w:lang w:bidi="fa-IR"/>
        </w:rPr>
        <w:t xml:space="preserve">Mock </w:t>
      </w:r>
      <w:r w:rsidR="004C7409" w:rsidRPr="007E5185">
        <w:rPr>
          <w:rFonts w:eastAsia="Calibri" w:cs="Times New Roman"/>
          <w:sz w:val="22"/>
          <w:lang w:bidi="fa-IR"/>
        </w:rPr>
        <w:t xml:space="preserve">speaking test, which was used as a pretest, for all the </w:t>
      </w:r>
      <w:r w:rsidR="003E6A7A" w:rsidRPr="007E5185">
        <w:rPr>
          <w:rFonts w:eastAsia="Calibri" w:cs="Times New Roman"/>
          <w:sz w:val="22"/>
          <w:lang w:bidi="fa-IR"/>
        </w:rPr>
        <w:t>students in all six</w:t>
      </w:r>
      <w:r w:rsidR="006772E3" w:rsidRPr="007E5185">
        <w:rPr>
          <w:rFonts w:eastAsia="Calibri" w:cs="Times New Roman"/>
          <w:sz w:val="22"/>
          <w:lang w:bidi="fa-IR"/>
        </w:rPr>
        <w:t xml:space="preserve"> groups. At</w:t>
      </w:r>
      <w:r w:rsidR="004C7409" w:rsidRPr="007E5185">
        <w:rPr>
          <w:rFonts w:eastAsia="Calibri" w:cs="Times New Roman"/>
          <w:sz w:val="22"/>
          <w:lang w:bidi="fa-IR"/>
        </w:rPr>
        <w:t xml:space="preserve"> </w:t>
      </w:r>
      <w:r w:rsidR="005352E0">
        <w:rPr>
          <w:rFonts w:eastAsia="Calibri" w:cs="Times New Roman"/>
          <w:sz w:val="22"/>
          <w:lang w:bidi="fa-IR"/>
        </w:rPr>
        <w:t>the end of the study, a second</w:t>
      </w:r>
      <w:r w:rsidR="004C7409" w:rsidRPr="007E5185">
        <w:rPr>
          <w:rFonts w:eastAsia="Calibri" w:cs="Times New Roman"/>
          <w:sz w:val="22"/>
          <w:lang w:bidi="fa-IR"/>
        </w:rPr>
        <w:t xml:space="preserve"> </w:t>
      </w:r>
      <w:r w:rsidRPr="007E5185">
        <w:rPr>
          <w:rFonts w:eastAsia="Calibri" w:cs="Times New Roman"/>
          <w:sz w:val="22"/>
          <w:lang w:bidi="fa-IR"/>
        </w:rPr>
        <w:t xml:space="preserve">parallel </w:t>
      </w:r>
      <w:r w:rsidR="004C7409" w:rsidRPr="007E5185">
        <w:rPr>
          <w:rFonts w:eastAsia="Calibri" w:cs="Times New Roman"/>
          <w:sz w:val="22"/>
          <w:lang w:bidi="fa-IR"/>
        </w:rPr>
        <w:t xml:space="preserve">IELTS </w:t>
      </w:r>
      <w:r w:rsidR="005352E0" w:rsidRPr="005352E0">
        <w:rPr>
          <w:rFonts w:eastAsia="Calibri" w:cs="Times New Roman"/>
          <w:sz w:val="22"/>
          <w:lang w:bidi="fa-IR"/>
        </w:rPr>
        <w:t xml:space="preserve">Mock </w:t>
      </w:r>
      <w:r w:rsidR="004C7409" w:rsidRPr="007E5185">
        <w:rPr>
          <w:rFonts w:eastAsia="Calibri" w:cs="Times New Roman"/>
          <w:sz w:val="22"/>
          <w:lang w:bidi="fa-IR"/>
        </w:rPr>
        <w:t xml:space="preserve">speaking test was administered for all to compare the </w:t>
      </w:r>
      <w:r w:rsidR="003E6A7A" w:rsidRPr="007E5185">
        <w:rPr>
          <w:rFonts w:eastAsia="Calibri" w:cs="Times New Roman"/>
          <w:sz w:val="22"/>
          <w:lang w:bidi="fa-IR"/>
        </w:rPr>
        <w:t>stude</w:t>
      </w:r>
      <w:r w:rsidR="004C7409" w:rsidRPr="007E5185">
        <w:rPr>
          <w:rFonts w:eastAsia="Calibri" w:cs="Times New Roman"/>
          <w:sz w:val="22"/>
          <w:lang w:bidi="fa-IR"/>
        </w:rPr>
        <w:t xml:space="preserve">nts’ performances in </w:t>
      </w:r>
      <w:r w:rsidR="00200B75" w:rsidRPr="007E5185">
        <w:rPr>
          <w:rFonts w:eastAsia="Calibri" w:cs="Times New Roman"/>
          <w:sz w:val="22"/>
          <w:lang w:bidi="fa-IR"/>
        </w:rPr>
        <w:t xml:space="preserve">the </w:t>
      </w:r>
      <w:r w:rsidR="004C7409" w:rsidRPr="007E5185">
        <w:rPr>
          <w:rFonts w:eastAsia="Calibri" w:cs="Times New Roman"/>
          <w:sz w:val="22"/>
          <w:lang w:bidi="fa-IR"/>
        </w:rPr>
        <w:t xml:space="preserve">experimental groups and </w:t>
      </w:r>
      <w:r w:rsidR="00200B75" w:rsidRPr="007E5185">
        <w:rPr>
          <w:rFonts w:eastAsia="Calibri" w:cs="Times New Roman"/>
          <w:sz w:val="22"/>
          <w:lang w:bidi="fa-IR"/>
        </w:rPr>
        <w:t xml:space="preserve">the </w:t>
      </w:r>
      <w:r w:rsidR="004C7409" w:rsidRPr="007E5185">
        <w:rPr>
          <w:rFonts w:eastAsia="Calibri" w:cs="Times New Roman"/>
          <w:sz w:val="22"/>
          <w:lang w:bidi="fa-IR"/>
        </w:rPr>
        <w:t>control groups and to ensure the effectiveness of the treatment.</w:t>
      </w:r>
      <w:r w:rsidRPr="007E5185">
        <w:rPr>
          <w:rFonts w:eastAsia="Calibri" w:cs="Times New Roman"/>
          <w:sz w:val="22"/>
          <w:lang w:bidi="fa-IR"/>
        </w:rPr>
        <w:t xml:space="preserve"> </w:t>
      </w:r>
      <w:r w:rsidR="005352E0">
        <w:rPr>
          <w:rFonts w:eastAsia="Calibri" w:cs="Times New Roman"/>
          <w:sz w:val="22"/>
          <w:lang w:bidi="fa-IR"/>
        </w:rPr>
        <w:t>For the purpose of data collection triangulation, 30 participants were also randomly interviewed</w:t>
      </w:r>
      <w:r w:rsidRPr="007E5185">
        <w:rPr>
          <w:rFonts w:eastAsia="Calibri" w:cs="Times New Roman"/>
          <w:sz w:val="22"/>
          <w:lang w:bidi="fa-IR"/>
        </w:rPr>
        <w:t xml:space="preserve"> in</w:t>
      </w:r>
      <w:r w:rsidR="00A05E35">
        <w:rPr>
          <w:rFonts w:eastAsia="Calibri" w:cs="Times New Roman"/>
          <w:sz w:val="22"/>
          <w:lang w:bidi="fa-IR"/>
        </w:rPr>
        <w:t xml:space="preserve"> the researcher</w:t>
      </w:r>
      <w:r w:rsidR="009E2469" w:rsidRPr="007E5185">
        <w:rPr>
          <w:rFonts w:eastAsia="Calibri" w:cs="Times New Roman"/>
          <w:sz w:val="22"/>
          <w:lang w:bidi="fa-IR"/>
        </w:rPr>
        <w:t>s</w:t>
      </w:r>
      <w:r w:rsidR="00A05E35">
        <w:rPr>
          <w:rFonts w:eastAsia="Calibri" w:cs="Times New Roman"/>
          <w:sz w:val="22"/>
          <w:lang w:bidi="fa-IR"/>
        </w:rPr>
        <w:t>'</w:t>
      </w:r>
      <w:r w:rsidR="009E2469" w:rsidRPr="007E5185">
        <w:rPr>
          <w:rFonts w:eastAsia="Calibri" w:cs="Times New Roman"/>
          <w:sz w:val="22"/>
          <w:lang w:bidi="fa-IR"/>
        </w:rPr>
        <w:t xml:space="preserve"> office</w:t>
      </w:r>
      <w:r w:rsidRPr="007E5185">
        <w:rPr>
          <w:rFonts w:eastAsia="Calibri" w:cs="Times New Roman"/>
          <w:sz w:val="22"/>
          <w:lang w:bidi="fa-IR"/>
        </w:rPr>
        <w:t>. Each speaking interview was between 10-14 minutes in length. The speaking tests comprised three clearly defined sections which were equal in value. Each section focused on different language abilities and speaking skills</w:t>
      </w:r>
      <w:r w:rsidR="00F61BD3">
        <w:rPr>
          <w:rFonts w:eastAsia="Calibri" w:cs="Times New Roman"/>
          <w:sz w:val="22"/>
          <w:lang w:bidi="fa-IR"/>
        </w:rPr>
        <w:t xml:space="preserve">. Using the IELTS speaking band descriptor (0-9), </w:t>
      </w:r>
      <w:r w:rsidRPr="007E5185">
        <w:rPr>
          <w:rFonts w:eastAsia="Calibri" w:cs="Times New Roman"/>
          <w:sz w:val="22"/>
          <w:lang w:bidi="fa-IR"/>
        </w:rPr>
        <w:t xml:space="preserve">the students' overall scores were awarded based on their average performance </w:t>
      </w:r>
      <w:r w:rsidR="0035260F" w:rsidRPr="007E5185">
        <w:rPr>
          <w:rFonts w:eastAsia="Calibri" w:cs="Times New Roman"/>
          <w:sz w:val="22"/>
          <w:lang w:bidi="fa-IR"/>
        </w:rPr>
        <w:t>on the three parts of the test.</w:t>
      </w:r>
    </w:p>
    <w:p w14:paraId="700C90CA" w14:textId="77777777" w:rsidR="002A4940" w:rsidRPr="00E93D2F" w:rsidRDefault="00E93D2F" w:rsidP="00E93D2F">
      <w:pPr>
        <w:autoSpaceDE w:val="0"/>
        <w:autoSpaceDN w:val="0"/>
        <w:adjustRightInd w:val="0"/>
        <w:spacing w:after="120" w:line="240" w:lineRule="auto"/>
        <w:jc w:val="both"/>
        <w:rPr>
          <w:rFonts w:asciiTheme="majorBidi" w:hAnsiTheme="majorBidi" w:cstheme="majorBidi"/>
          <w:i/>
          <w:iCs/>
          <w:sz w:val="22"/>
        </w:rPr>
      </w:pPr>
      <w:r>
        <w:rPr>
          <w:rFonts w:asciiTheme="majorBidi" w:hAnsiTheme="majorBidi" w:cstheme="majorBidi"/>
          <w:i/>
          <w:iCs/>
          <w:sz w:val="22"/>
        </w:rPr>
        <w:t>3.4</w:t>
      </w:r>
      <w:r w:rsidR="002A4940" w:rsidRPr="00E93D2F">
        <w:rPr>
          <w:rFonts w:asciiTheme="majorBidi" w:hAnsiTheme="majorBidi" w:cstheme="majorBidi"/>
          <w:i/>
          <w:iCs/>
          <w:sz w:val="22"/>
        </w:rPr>
        <w:t xml:space="preserve">. Data Collection </w:t>
      </w:r>
      <w:r w:rsidR="00BB5577" w:rsidRPr="00E93D2F">
        <w:rPr>
          <w:rFonts w:asciiTheme="majorBidi" w:hAnsiTheme="majorBidi" w:cstheme="majorBidi"/>
          <w:i/>
          <w:iCs/>
          <w:sz w:val="22"/>
        </w:rPr>
        <w:t>Procedure</w:t>
      </w:r>
    </w:p>
    <w:p w14:paraId="2D1B94B0" w14:textId="77777777" w:rsidR="00FA4170" w:rsidRPr="007E5185" w:rsidRDefault="000076D7" w:rsidP="00E93D2F">
      <w:pPr>
        <w:widowControl w:val="0"/>
        <w:autoSpaceDE w:val="0"/>
        <w:autoSpaceDN w:val="0"/>
        <w:adjustRightInd w:val="0"/>
        <w:spacing w:after="120" w:line="240" w:lineRule="auto"/>
        <w:ind w:left="115" w:right="72"/>
        <w:jc w:val="both"/>
        <w:rPr>
          <w:rFonts w:eastAsia="Calibri"/>
          <w:sz w:val="22"/>
        </w:rPr>
      </w:pPr>
      <w:r w:rsidRPr="007E5185">
        <w:rPr>
          <w:rFonts w:eastAsia="Calibri"/>
          <w:sz w:val="22"/>
        </w:rPr>
        <w:t xml:space="preserve">At first, </w:t>
      </w:r>
      <w:r w:rsidR="00E611F9" w:rsidRPr="007E5185">
        <w:rPr>
          <w:rFonts w:eastAsia="Calibri"/>
          <w:sz w:val="22"/>
        </w:rPr>
        <w:t>i</w:t>
      </w:r>
      <w:r w:rsidRPr="007E5185">
        <w:rPr>
          <w:rFonts w:eastAsia="Calibri"/>
          <w:sz w:val="22"/>
        </w:rPr>
        <w:t xml:space="preserve">n a debriefing session </w:t>
      </w:r>
      <w:r w:rsidR="00386B42" w:rsidRPr="007E5185">
        <w:rPr>
          <w:rFonts w:eastAsia="Calibri"/>
          <w:sz w:val="22"/>
        </w:rPr>
        <w:t>with the English faculty</w:t>
      </w:r>
      <w:r w:rsidRPr="007E5185">
        <w:rPr>
          <w:rFonts w:eastAsia="Calibri"/>
          <w:sz w:val="22"/>
        </w:rPr>
        <w:t xml:space="preserve">, the nature of </w:t>
      </w:r>
      <w:r w:rsidR="00386B42" w:rsidRPr="007E5185">
        <w:rPr>
          <w:rFonts w:eastAsia="Calibri"/>
          <w:sz w:val="22"/>
        </w:rPr>
        <w:t xml:space="preserve">the </w:t>
      </w:r>
      <w:r w:rsidRPr="007E5185">
        <w:rPr>
          <w:rFonts w:eastAsia="Calibri"/>
          <w:sz w:val="22"/>
        </w:rPr>
        <w:t>PA and its values were</w:t>
      </w:r>
      <w:r w:rsidR="00386B42" w:rsidRPr="007E5185">
        <w:rPr>
          <w:rFonts w:eastAsia="Calibri"/>
          <w:sz w:val="22"/>
        </w:rPr>
        <w:t xml:space="preserve"> discussed and t</w:t>
      </w:r>
      <w:r w:rsidRPr="007E5185">
        <w:rPr>
          <w:rFonts w:eastAsia="Calibri"/>
          <w:sz w:val="22"/>
        </w:rPr>
        <w:t>he researcher</w:t>
      </w:r>
      <w:r w:rsidR="00156B1C">
        <w:rPr>
          <w:rFonts w:eastAsia="Calibri"/>
          <w:sz w:val="22"/>
        </w:rPr>
        <w:t>s</w:t>
      </w:r>
      <w:r w:rsidRPr="007E5185">
        <w:rPr>
          <w:rFonts w:eastAsia="Calibri"/>
          <w:sz w:val="22"/>
        </w:rPr>
        <w:t xml:space="preserve"> earned the</w:t>
      </w:r>
      <w:r w:rsidR="00386B42" w:rsidRPr="007E5185">
        <w:rPr>
          <w:rFonts w:eastAsia="Calibri"/>
          <w:sz w:val="22"/>
        </w:rPr>
        <w:t>ir</w:t>
      </w:r>
      <w:r w:rsidRPr="007E5185">
        <w:rPr>
          <w:rFonts w:eastAsia="Calibri"/>
          <w:sz w:val="22"/>
        </w:rPr>
        <w:t xml:space="preserve"> consent to implement the treatment. In another debriefing session with the </w:t>
      </w:r>
      <w:r w:rsidR="00766257">
        <w:rPr>
          <w:rFonts w:eastAsia="Calibri"/>
          <w:sz w:val="22"/>
        </w:rPr>
        <w:t>participants</w:t>
      </w:r>
      <w:r w:rsidRPr="007E5185">
        <w:rPr>
          <w:rFonts w:eastAsia="Calibri"/>
          <w:sz w:val="22"/>
        </w:rPr>
        <w:t xml:space="preserve"> in </w:t>
      </w:r>
      <w:r w:rsidR="0073218B" w:rsidRPr="007E5185">
        <w:rPr>
          <w:rFonts w:eastAsia="Calibri"/>
          <w:sz w:val="22"/>
        </w:rPr>
        <w:t xml:space="preserve">the </w:t>
      </w:r>
      <w:r w:rsidRPr="007E5185">
        <w:rPr>
          <w:rFonts w:eastAsia="Calibri"/>
          <w:sz w:val="22"/>
        </w:rPr>
        <w:t>experimental groups</w:t>
      </w:r>
      <w:r w:rsidR="0073218B" w:rsidRPr="007E5185">
        <w:rPr>
          <w:rFonts w:eastAsia="Calibri"/>
          <w:sz w:val="22"/>
        </w:rPr>
        <w:t>,</w:t>
      </w:r>
      <w:r w:rsidRPr="007E5185">
        <w:rPr>
          <w:rFonts w:eastAsia="Calibri"/>
          <w:sz w:val="22"/>
        </w:rPr>
        <w:t xml:space="preserve"> the nature of </w:t>
      </w:r>
      <w:r w:rsidR="00386B42" w:rsidRPr="007E5185">
        <w:rPr>
          <w:rFonts w:eastAsia="Calibri"/>
          <w:sz w:val="22"/>
        </w:rPr>
        <w:t xml:space="preserve">the </w:t>
      </w:r>
      <w:r w:rsidRPr="007E5185">
        <w:rPr>
          <w:rFonts w:eastAsia="Calibri"/>
          <w:sz w:val="22"/>
        </w:rPr>
        <w:t>P</w:t>
      </w:r>
      <w:r w:rsidR="00766257">
        <w:rPr>
          <w:rFonts w:eastAsia="Calibri"/>
          <w:sz w:val="22"/>
        </w:rPr>
        <w:t>A</w:t>
      </w:r>
      <w:r w:rsidRPr="007E5185">
        <w:rPr>
          <w:rFonts w:eastAsia="Calibri"/>
          <w:sz w:val="22"/>
        </w:rPr>
        <w:t>, its values, the way students would be put into groups, and the way grouping work might be conducted in the class during the semester were explained by the researcher</w:t>
      </w:r>
      <w:r w:rsidR="00156B1C">
        <w:rPr>
          <w:rFonts w:eastAsia="Calibri"/>
          <w:sz w:val="22"/>
        </w:rPr>
        <w:t>s</w:t>
      </w:r>
      <w:r w:rsidRPr="007E5185">
        <w:rPr>
          <w:rFonts w:eastAsia="Calibri"/>
          <w:sz w:val="22"/>
        </w:rPr>
        <w:t xml:space="preserve">. </w:t>
      </w:r>
      <w:r w:rsidR="00E611F9" w:rsidRPr="007E5185">
        <w:rPr>
          <w:rFonts w:eastAsia="Calibri"/>
          <w:sz w:val="22"/>
        </w:rPr>
        <w:t xml:space="preserve">The objective of the project was clarified, and the particular skill (speaking) to focus on was specified. </w:t>
      </w:r>
      <w:r w:rsidR="00FA4170" w:rsidRPr="007E5185">
        <w:rPr>
          <w:rFonts w:eastAsia="Calibri"/>
          <w:sz w:val="22"/>
        </w:rPr>
        <w:t>The project involved a small-scale inquiry into practice initiated to enhance learning and teaching</w:t>
      </w:r>
      <w:r w:rsidR="00766257">
        <w:rPr>
          <w:rFonts w:eastAsia="Calibri"/>
          <w:sz w:val="22"/>
        </w:rPr>
        <w:t xml:space="preserve"> and</w:t>
      </w:r>
      <w:r w:rsidR="00FA4170" w:rsidRPr="007E5185">
        <w:rPr>
          <w:rFonts w:eastAsia="Calibri"/>
          <w:sz w:val="22"/>
        </w:rPr>
        <w:t xml:space="preserve"> encourage the learners’ cooperation with each other and </w:t>
      </w:r>
      <w:r w:rsidR="00E611F9" w:rsidRPr="007E5185">
        <w:rPr>
          <w:rFonts w:eastAsia="Calibri"/>
          <w:sz w:val="22"/>
        </w:rPr>
        <w:t xml:space="preserve">with </w:t>
      </w:r>
      <w:r w:rsidR="00FA4170" w:rsidRPr="007E5185">
        <w:rPr>
          <w:rFonts w:eastAsia="Calibri"/>
          <w:sz w:val="22"/>
        </w:rPr>
        <w:t>the teacher while actively participating in designing, carrying out</w:t>
      </w:r>
      <w:r w:rsidR="00E611F9" w:rsidRPr="007E5185">
        <w:rPr>
          <w:rFonts w:eastAsia="Calibri"/>
          <w:sz w:val="22"/>
        </w:rPr>
        <w:t>,</w:t>
      </w:r>
      <w:r w:rsidR="00FA4170" w:rsidRPr="007E5185">
        <w:rPr>
          <w:rFonts w:eastAsia="Calibri"/>
          <w:sz w:val="22"/>
        </w:rPr>
        <w:t xml:space="preserve"> and evaluating as</w:t>
      </w:r>
      <w:r w:rsidR="008233C1" w:rsidRPr="007E5185">
        <w:rPr>
          <w:rFonts w:eastAsia="Calibri"/>
          <w:sz w:val="22"/>
        </w:rPr>
        <w:t>pects of teaching and learning.</w:t>
      </w:r>
    </w:p>
    <w:p w14:paraId="1623EECB" w14:textId="77777777" w:rsidR="007D439C" w:rsidRPr="007E5185" w:rsidRDefault="000076D7" w:rsidP="00146C86">
      <w:pPr>
        <w:widowControl w:val="0"/>
        <w:autoSpaceDE w:val="0"/>
        <w:autoSpaceDN w:val="0"/>
        <w:adjustRightInd w:val="0"/>
        <w:spacing w:after="120" w:line="240" w:lineRule="auto"/>
        <w:ind w:left="115" w:right="72" w:firstLine="562"/>
        <w:jc w:val="both"/>
        <w:rPr>
          <w:rFonts w:eastAsia="Calibri"/>
          <w:sz w:val="22"/>
        </w:rPr>
      </w:pPr>
      <w:r w:rsidRPr="007E5185">
        <w:rPr>
          <w:rFonts w:eastAsia="Calibri"/>
          <w:sz w:val="22"/>
        </w:rPr>
        <w:t xml:space="preserve">An </w:t>
      </w:r>
      <w:r w:rsidR="003C7C48" w:rsidRPr="007E5185">
        <w:rPr>
          <w:rFonts w:eastAsia="Calibri"/>
          <w:sz w:val="22"/>
        </w:rPr>
        <w:t>O</w:t>
      </w:r>
      <w:r w:rsidR="00CE1625">
        <w:rPr>
          <w:rFonts w:eastAsia="Calibri"/>
          <w:sz w:val="22"/>
        </w:rPr>
        <w:t>Q</w:t>
      </w:r>
      <w:r w:rsidR="003C7C48" w:rsidRPr="007E5185">
        <w:rPr>
          <w:rFonts w:eastAsia="Calibri"/>
          <w:sz w:val="22"/>
        </w:rPr>
        <w:t>PT</w:t>
      </w:r>
      <w:r w:rsidRPr="007E5185">
        <w:rPr>
          <w:rFonts w:eastAsia="Calibri"/>
          <w:sz w:val="22"/>
        </w:rPr>
        <w:t xml:space="preserve"> was run to </w:t>
      </w:r>
      <w:r w:rsidR="00766257">
        <w:rPr>
          <w:rFonts w:eastAsia="Calibri"/>
          <w:sz w:val="22"/>
        </w:rPr>
        <w:t xml:space="preserve">select </w:t>
      </w:r>
      <w:r w:rsidRPr="007E5185">
        <w:rPr>
          <w:rFonts w:eastAsia="Calibri"/>
          <w:sz w:val="22"/>
        </w:rPr>
        <w:t xml:space="preserve">the students </w:t>
      </w:r>
      <w:r w:rsidR="00766257">
        <w:rPr>
          <w:rFonts w:eastAsia="Calibri"/>
          <w:sz w:val="22"/>
        </w:rPr>
        <w:t>as</w:t>
      </w:r>
      <w:r w:rsidRPr="007E5185">
        <w:rPr>
          <w:rFonts w:eastAsia="Calibri"/>
          <w:sz w:val="22"/>
        </w:rPr>
        <w:t xml:space="preserve"> homogeneous groups regarding their language abilities. The reliability of the test was checked using </w:t>
      </w:r>
      <w:r w:rsidR="00B32001" w:rsidRPr="007E5185">
        <w:rPr>
          <w:rFonts w:eastAsia="Calibri"/>
          <w:sz w:val="22"/>
        </w:rPr>
        <w:t xml:space="preserve">the </w:t>
      </w:r>
      <w:r w:rsidRPr="007E5185">
        <w:rPr>
          <w:rFonts w:eastAsia="Calibri"/>
          <w:sz w:val="22"/>
        </w:rPr>
        <w:t>KR-21 formula</w:t>
      </w:r>
      <w:r w:rsidR="00FC771B">
        <w:rPr>
          <w:rFonts w:eastAsia="Calibri"/>
          <w:sz w:val="22"/>
        </w:rPr>
        <w:t xml:space="preserve"> (r = 0.86)</w:t>
      </w:r>
      <w:r w:rsidRPr="007E5185">
        <w:rPr>
          <w:rFonts w:eastAsia="Calibri"/>
          <w:sz w:val="22"/>
        </w:rPr>
        <w:t xml:space="preserve">. After assigning students to </w:t>
      </w:r>
      <w:r w:rsidR="00022AE3" w:rsidRPr="007E5185">
        <w:rPr>
          <w:rFonts w:eastAsia="Calibri"/>
          <w:sz w:val="22"/>
        </w:rPr>
        <w:t>different ability-</w:t>
      </w:r>
      <w:r w:rsidRPr="007E5185">
        <w:rPr>
          <w:rFonts w:eastAsia="Calibri"/>
          <w:sz w:val="22"/>
        </w:rPr>
        <w:t>groups</w:t>
      </w:r>
      <w:r w:rsidR="00CE1625">
        <w:rPr>
          <w:rFonts w:eastAsia="Calibri"/>
          <w:sz w:val="22"/>
        </w:rPr>
        <w:t xml:space="preserve"> based on the scores they earned on OQPT</w:t>
      </w:r>
      <w:r w:rsidRPr="007E5185">
        <w:rPr>
          <w:rFonts w:eastAsia="Calibri"/>
          <w:sz w:val="22"/>
        </w:rPr>
        <w:t>, they remained in the same group for the whole period of instruct</w:t>
      </w:r>
      <w:r w:rsidR="001F1C25" w:rsidRPr="007E5185">
        <w:rPr>
          <w:rFonts w:eastAsia="Calibri"/>
          <w:sz w:val="22"/>
        </w:rPr>
        <w:t>ion</w:t>
      </w:r>
      <w:r w:rsidR="00FA4170" w:rsidRPr="007E5185">
        <w:rPr>
          <w:rFonts w:eastAsia="Calibri"/>
          <w:sz w:val="22"/>
        </w:rPr>
        <w:t xml:space="preserve">. </w:t>
      </w:r>
      <w:r w:rsidR="00C145D7" w:rsidRPr="007E5185">
        <w:rPr>
          <w:rFonts w:eastAsia="Calibri"/>
          <w:sz w:val="22"/>
        </w:rPr>
        <w:t xml:space="preserve">The </w:t>
      </w:r>
      <w:r w:rsidR="000C2FF9" w:rsidRPr="007E5185">
        <w:rPr>
          <w:rFonts w:eastAsia="Calibri"/>
          <w:sz w:val="22"/>
        </w:rPr>
        <w:t>studen</w:t>
      </w:r>
      <w:r w:rsidR="00766257">
        <w:rPr>
          <w:rFonts w:eastAsia="Calibri"/>
          <w:sz w:val="22"/>
        </w:rPr>
        <w:t>ts attended six classes;</w:t>
      </w:r>
      <w:r w:rsidR="00C145D7" w:rsidRPr="007E5185">
        <w:rPr>
          <w:rFonts w:eastAsia="Calibri"/>
          <w:sz w:val="22"/>
        </w:rPr>
        <w:t xml:space="preserve"> </w:t>
      </w:r>
      <w:r w:rsidR="00766257">
        <w:rPr>
          <w:rFonts w:eastAsia="Calibri"/>
          <w:sz w:val="22"/>
        </w:rPr>
        <w:t>three</w:t>
      </w:r>
      <w:r w:rsidR="00C145D7" w:rsidRPr="007E5185">
        <w:rPr>
          <w:rFonts w:eastAsia="Calibri"/>
          <w:sz w:val="22"/>
        </w:rPr>
        <w:t xml:space="preserve"> low</w:t>
      </w:r>
      <w:r w:rsidR="00766257">
        <w:rPr>
          <w:rFonts w:eastAsia="Calibri"/>
          <w:sz w:val="22"/>
        </w:rPr>
        <w:t>,</w:t>
      </w:r>
      <w:r w:rsidR="00426ABB" w:rsidRPr="007E5185">
        <w:rPr>
          <w:rFonts w:eastAsia="Calibri"/>
          <w:sz w:val="22"/>
        </w:rPr>
        <w:t xml:space="preserve"> high</w:t>
      </w:r>
      <w:r w:rsidR="00766257">
        <w:rPr>
          <w:rFonts w:eastAsia="Calibri"/>
          <w:sz w:val="22"/>
        </w:rPr>
        <w:t>, and mixed</w:t>
      </w:r>
      <w:r w:rsidR="00426ABB" w:rsidRPr="007E5185">
        <w:rPr>
          <w:rFonts w:eastAsia="Calibri"/>
          <w:sz w:val="22"/>
        </w:rPr>
        <w:t xml:space="preserve"> </w:t>
      </w:r>
      <w:r w:rsidR="00C145D7" w:rsidRPr="007E5185">
        <w:rPr>
          <w:rFonts w:eastAsia="Calibri"/>
          <w:sz w:val="22"/>
        </w:rPr>
        <w:t>language-ability group</w:t>
      </w:r>
      <w:r w:rsidR="00426ABB" w:rsidRPr="007E5185">
        <w:rPr>
          <w:rFonts w:eastAsia="Calibri"/>
          <w:sz w:val="22"/>
        </w:rPr>
        <w:t>s</w:t>
      </w:r>
      <w:r w:rsidR="00C145D7" w:rsidRPr="007E5185">
        <w:rPr>
          <w:rFonts w:eastAsia="Calibri"/>
          <w:sz w:val="22"/>
        </w:rPr>
        <w:t xml:space="preserve"> as experimental groups, and </w:t>
      </w:r>
      <w:r w:rsidR="00766257">
        <w:rPr>
          <w:rFonts w:eastAsia="Calibri"/>
          <w:sz w:val="22"/>
        </w:rPr>
        <w:t>three</w:t>
      </w:r>
      <w:r w:rsidR="00C145D7" w:rsidRPr="007E5185">
        <w:rPr>
          <w:rFonts w:eastAsia="Calibri"/>
          <w:sz w:val="22"/>
        </w:rPr>
        <w:t xml:space="preserve"> low</w:t>
      </w:r>
      <w:r w:rsidR="00766257">
        <w:rPr>
          <w:rFonts w:eastAsia="Calibri"/>
          <w:sz w:val="22"/>
        </w:rPr>
        <w:t>,</w:t>
      </w:r>
      <w:r w:rsidR="00426ABB" w:rsidRPr="007E5185">
        <w:rPr>
          <w:rFonts w:eastAsia="Calibri"/>
          <w:sz w:val="22"/>
        </w:rPr>
        <w:t xml:space="preserve"> </w:t>
      </w:r>
      <w:r w:rsidR="00D3576F" w:rsidRPr="007E5185">
        <w:rPr>
          <w:rFonts w:eastAsia="Calibri"/>
          <w:sz w:val="22"/>
        </w:rPr>
        <w:t>high</w:t>
      </w:r>
      <w:r w:rsidR="00F93DFD">
        <w:rPr>
          <w:rFonts w:eastAsia="Calibri"/>
          <w:sz w:val="22"/>
        </w:rPr>
        <w:t>, and mixed</w:t>
      </w:r>
      <w:r w:rsidR="00D3576F" w:rsidRPr="007E5185">
        <w:rPr>
          <w:rFonts w:eastAsia="Calibri"/>
          <w:sz w:val="22"/>
        </w:rPr>
        <w:t xml:space="preserve"> language</w:t>
      </w:r>
      <w:r w:rsidR="00C145D7" w:rsidRPr="007E5185">
        <w:rPr>
          <w:rFonts w:eastAsia="Calibri"/>
          <w:sz w:val="22"/>
        </w:rPr>
        <w:t>-ability group</w:t>
      </w:r>
      <w:r w:rsidR="00426ABB" w:rsidRPr="007E5185">
        <w:rPr>
          <w:rFonts w:eastAsia="Calibri"/>
          <w:sz w:val="22"/>
        </w:rPr>
        <w:t>s</w:t>
      </w:r>
      <w:r w:rsidR="00C145D7" w:rsidRPr="007E5185">
        <w:rPr>
          <w:rFonts w:eastAsia="Calibri"/>
          <w:sz w:val="22"/>
        </w:rPr>
        <w:t xml:space="preserve"> as control groups. </w:t>
      </w:r>
      <w:r w:rsidR="00FA4170" w:rsidRPr="007E5185">
        <w:rPr>
          <w:rFonts w:eastAsia="Calibri"/>
          <w:sz w:val="22"/>
        </w:rPr>
        <w:t xml:space="preserve">Factors such as age range and attending extra language classes during the course were controlled. </w:t>
      </w:r>
      <w:r w:rsidR="00C145D7" w:rsidRPr="007E5185">
        <w:rPr>
          <w:rFonts w:eastAsia="Calibri"/>
          <w:sz w:val="22"/>
        </w:rPr>
        <w:t xml:space="preserve">The </w:t>
      </w:r>
      <w:r w:rsidR="00143936" w:rsidRPr="007E5185">
        <w:rPr>
          <w:rFonts w:eastAsia="Calibri"/>
          <w:sz w:val="22"/>
        </w:rPr>
        <w:t>studen</w:t>
      </w:r>
      <w:r w:rsidR="00C145D7" w:rsidRPr="007E5185">
        <w:rPr>
          <w:rFonts w:eastAsia="Calibri"/>
          <w:sz w:val="22"/>
        </w:rPr>
        <w:t xml:space="preserve">ts </w:t>
      </w:r>
      <w:r w:rsidR="00143936" w:rsidRPr="007E5185">
        <w:rPr>
          <w:rFonts w:eastAsia="Calibri"/>
          <w:sz w:val="22"/>
        </w:rPr>
        <w:t>attend</w:t>
      </w:r>
      <w:r w:rsidR="00C145D7" w:rsidRPr="007E5185">
        <w:rPr>
          <w:rFonts w:eastAsia="Calibri"/>
          <w:sz w:val="22"/>
        </w:rPr>
        <w:t>ed</w:t>
      </w:r>
      <w:r w:rsidR="00143936" w:rsidRPr="007E5185">
        <w:rPr>
          <w:rFonts w:eastAsia="Calibri"/>
          <w:sz w:val="22"/>
        </w:rPr>
        <w:t xml:space="preserve"> </w:t>
      </w:r>
      <w:r w:rsidR="00215877" w:rsidRPr="007E5185">
        <w:rPr>
          <w:rFonts w:eastAsia="Calibri"/>
          <w:sz w:val="22"/>
        </w:rPr>
        <w:t>90</w:t>
      </w:r>
      <w:r w:rsidR="0039046B" w:rsidRPr="007E5185">
        <w:rPr>
          <w:rFonts w:eastAsia="Calibri"/>
          <w:sz w:val="22"/>
        </w:rPr>
        <w:t>-minute</w:t>
      </w:r>
      <w:r w:rsidR="00C145D7" w:rsidRPr="007E5185">
        <w:rPr>
          <w:rFonts w:eastAsia="Calibri"/>
          <w:sz w:val="22"/>
        </w:rPr>
        <w:t xml:space="preserve"> </w:t>
      </w:r>
      <w:r w:rsidR="00F93DFD" w:rsidRPr="00F93DFD">
        <w:rPr>
          <w:rFonts w:eastAsia="Calibri"/>
          <w:sz w:val="22"/>
        </w:rPr>
        <w:t xml:space="preserve">speaking </w:t>
      </w:r>
      <w:r w:rsidR="00C145D7" w:rsidRPr="007E5185">
        <w:rPr>
          <w:rFonts w:eastAsia="Calibri"/>
          <w:sz w:val="22"/>
        </w:rPr>
        <w:t>classes, one session a week, for</w:t>
      </w:r>
      <w:r w:rsidR="00BB0955" w:rsidRPr="007E5185">
        <w:rPr>
          <w:rFonts w:eastAsia="Calibri"/>
          <w:sz w:val="22"/>
        </w:rPr>
        <w:t xml:space="preserve"> </w:t>
      </w:r>
      <w:r w:rsidR="00215877" w:rsidRPr="007E5185">
        <w:rPr>
          <w:rFonts w:eastAsia="Calibri"/>
          <w:sz w:val="22"/>
        </w:rPr>
        <w:t>14</w:t>
      </w:r>
      <w:r w:rsidR="00C145D7" w:rsidRPr="007E5185">
        <w:rPr>
          <w:rFonts w:eastAsia="Calibri"/>
          <w:sz w:val="22"/>
        </w:rPr>
        <w:t xml:space="preserve"> succeeding sessions</w:t>
      </w:r>
      <w:r w:rsidR="00D3576F" w:rsidRPr="007E5185">
        <w:rPr>
          <w:rFonts w:eastAsia="Calibri"/>
          <w:sz w:val="22"/>
        </w:rPr>
        <w:t>.</w:t>
      </w:r>
      <w:r w:rsidR="00FA4170" w:rsidRPr="007E5185">
        <w:rPr>
          <w:rFonts w:eastAsia="Calibri"/>
          <w:sz w:val="22"/>
        </w:rPr>
        <w:t xml:space="preserve"> </w:t>
      </w:r>
      <w:r w:rsidR="00C145D7" w:rsidRPr="007E5185">
        <w:rPr>
          <w:rFonts w:eastAsia="Calibri"/>
          <w:sz w:val="22"/>
        </w:rPr>
        <w:t>All the six classes were taught by the same teacher</w:t>
      </w:r>
      <w:r w:rsidR="00D3576F" w:rsidRPr="007E5185">
        <w:rPr>
          <w:rFonts w:eastAsia="Calibri"/>
          <w:sz w:val="22"/>
        </w:rPr>
        <w:t xml:space="preserve"> and the facilities available in </w:t>
      </w:r>
      <w:r w:rsidR="00215877" w:rsidRPr="007E5185">
        <w:rPr>
          <w:rFonts w:eastAsia="Calibri"/>
          <w:sz w:val="22"/>
        </w:rPr>
        <w:t xml:space="preserve">the </w:t>
      </w:r>
      <w:r w:rsidR="00D3576F" w:rsidRPr="007E5185">
        <w:rPr>
          <w:rFonts w:eastAsia="Calibri"/>
          <w:sz w:val="22"/>
        </w:rPr>
        <w:t>classrooms were the same for all</w:t>
      </w:r>
      <w:r w:rsidR="008233C1" w:rsidRPr="007E5185">
        <w:rPr>
          <w:rFonts w:eastAsia="Calibri"/>
          <w:sz w:val="22"/>
        </w:rPr>
        <w:t>.</w:t>
      </w:r>
    </w:p>
    <w:p w14:paraId="7B8CA6D4" w14:textId="77777777" w:rsidR="00183650" w:rsidRDefault="00C145D7" w:rsidP="00146C86">
      <w:pPr>
        <w:widowControl w:val="0"/>
        <w:autoSpaceDE w:val="0"/>
        <w:autoSpaceDN w:val="0"/>
        <w:adjustRightInd w:val="0"/>
        <w:spacing w:after="120" w:line="240" w:lineRule="auto"/>
        <w:ind w:left="115" w:right="72" w:firstLine="562"/>
        <w:jc w:val="both"/>
        <w:rPr>
          <w:rFonts w:eastAsia="Calibri"/>
          <w:sz w:val="22"/>
        </w:rPr>
      </w:pPr>
      <w:r w:rsidRPr="007E5185">
        <w:rPr>
          <w:rFonts w:eastAsia="Calibri"/>
          <w:sz w:val="22"/>
        </w:rPr>
        <w:t>A</w:t>
      </w:r>
      <w:r w:rsidR="00BB4192">
        <w:rPr>
          <w:rFonts w:eastAsia="Calibri"/>
          <w:sz w:val="22"/>
        </w:rPr>
        <w:t>n</w:t>
      </w:r>
      <w:r w:rsidRPr="007E5185">
        <w:rPr>
          <w:rFonts w:eastAsia="Calibri"/>
          <w:sz w:val="22"/>
        </w:rPr>
        <w:t xml:space="preserve"> IELTS </w:t>
      </w:r>
      <w:r w:rsidR="00BB4192">
        <w:rPr>
          <w:rFonts w:eastAsia="Calibri"/>
          <w:sz w:val="22"/>
        </w:rPr>
        <w:t xml:space="preserve">Mock </w:t>
      </w:r>
      <w:r w:rsidRPr="007E5185">
        <w:rPr>
          <w:rFonts w:eastAsia="Calibri"/>
          <w:sz w:val="22"/>
        </w:rPr>
        <w:t xml:space="preserve">speaking test </w:t>
      </w:r>
      <w:r w:rsidR="002E74E3" w:rsidRPr="007E5185">
        <w:rPr>
          <w:rFonts w:eastAsia="Calibri"/>
          <w:sz w:val="22"/>
        </w:rPr>
        <w:t>was</w:t>
      </w:r>
      <w:r w:rsidRPr="007E5185">
        <w:rPr>
          <w:rFonts w:eastAsia="Calibri"/>
          <w:sz w:val="22"/>
        </w:rPr>
        <w:t xml:space="preserve"> u</w:t>
      </w:r>
      <w:r w:rsidR="00215877" w:rsidRPr="007E5185">
        <w:rPr>
          <w:rFonts w:eastAsia="Calibri"/>
          <w:sz w:val="22"/>
        </w:rPr>
        <w:t>tilized</w:t>
      </w:r>
      <w:r w:rsidRPr="007E5185">
        <w:rPr>
          <w:rFonts w:eastAsia="Calibri"/>
          <w:sz w:val="22"/>
        </w:rPr>
        <w:t xml:space="preserve"> as pretest for </w:t>
      </w:r>
      <w:r w:rsidR="00BB4192">
        <w:rPr>
          <w:rFonts w:eastAsia="Calibri"/>
          <w:sz w:val="22"/>
        </w:rPr>
        <w:t xml:space="preserve">both </w:t>
      </w:r>
      <w:r w:rsidRPr="007E5185">
        <w:rPr>
          <w:rFonts w:eastAsia="Calibri"/>
          <w:sz w:val="22"/>
        </w:rPr>
        <w:t xml:space="preserve">experimental and control groups to determine their level of speaking ability as well as the </w:t>
      </w:r>
      <w:r w:rsidR="002E74E3" w:rsidRPr="007E5185">
        <w:rPr>
          <w:rFonts w:eastAsia="Calibri"/>
          <w:sz w:val="22"/>
        </w:rPr>
        <w:t xml:space="preserve">areas in which </w:t>
      </w:r>
      <w:r w:rsidR="001D490C" w:rsidRPr="007E5185">
        <w:rPr>
          <w:rFonts w:eastAsia="Calibri"/>
          <w:sz w:val="22"/>
        </w:rPr>
        <w:t xml:space="preserve">the </w:t>
      </w:r>
      <w:r w:rsidR="00156B1C">
        <w:rPr>
          <w:rFonts w:eastAsia="Calibri"/>
          <w:sz w:val="22"/>
        </w:rPr>
        <w:t>student</w:t>
      </w:r>
      <w:r w:rsidR="002E74E3" w:rsidRPr="007E5185">
        <w:rPr>
          <w:rFonts w:eastAsia="Calibri"/>
          <w:sz w:val="22"/>
        </w:rPr>
        <w:t>s seemed to have</w:t>
      </w:r>
      <w:r w:rsidRPr="007E5185">
        <w:rPr>
          <w:rFonts w:eastAsia="Calibri"/>
          <w:sz w:val="22"/>
        </w:rPr>
        <w:t xml:space="preserve"> more problems and need</w:t>
      </w:r>
      <w:r w:rsidR="002E74E3" w:rsidRPr="007E5185">
        <w:rPr>
          <w:rFonts w:eastAsia="Calibri"/>
          <w:sz w:val="22"/>
        </w:rPr>
        <w:t>ed</w:t>
      </w:r>
      <w:r w:rsidRPr="007E5185">
        <w:rPr>
          <w:rFonts w:eastAsia="Calibri"/>
          <w:sz w:val="22"/>
        </w:rPr>
        <w:t xml:space="preserve"> more instruction and practice,</w:t>
      </w:r>
      <w:r w:rsidR="002E74E3" w:rsidRPr="007E5185">
        <w:rPr>
          <w:rFonts w:eastAsia="Calibri"/>
          <w:sz w:val="22"/>
        </w:rPr>
        <w:t xml:space="preserve"> and in order to make</w:t>
      </w:r>
      <w:r w:rsidRPr="007E5185">
        <w:rPr>
          <w:rFonts w:eastAsia="Calibri"/>
          <w:sz w:val="22"/>
        </w:rPr>
        <w:t xml:space="preserve"> sure about the comparability of the groups regarding their speaking abilities prior to</w:t>
      </w:r>
      <w:r w:rsidR="00031C0D" w:rsidRPr="007E5185">
        <w:rPr>
          <w:rFonts w:eastAsia="Calibri"/>
          <w:sz w:val="22"/>
        </w:rPr>
        <w:t xml:space="preserve"> </w:t>
      </w:r>
      <w:r w:rsidR="001D490C" w:rsidRPr="007E5185">
        <w:rPr>
          <w:rFonts w:eastAsia="Calibri"/>
          <w:sz w:val="22"/>
        </w:rPr>
        <w:t>the treatment</w:t>
      </w:r>
      <w:r w:rsidRPr="007E5185">
        <w:rPr>
          <w:rFonts w:eastAsia="Calibri"/>
          <w:sz w:val="22"/>
        </w:rPr>
        <w:t xml:space="preserve">. Partnership with a special focus on the learners’ engagement as students and teacher </w:t>
      </w:r>
      <w:r w:rsidR="002E74E3" w:rsidRPr="007E5185">
        <w:rPr>
          <w:rFonts w:eastAsia="Calibri"/>
          <w:sz w:val="22"/>
        </w:rPr>
        <w:t>was</w:t>
      </w:r>
      <w:r w:rsidRPr="007E5185">
        <w:rPr>
          <w:rFonts w:eastAsia="Calibri"/>
          <w:sz w:val="22"/>
        </w:rPr>
        <w:t xml:space="preserve"> </w:t>
      </w:r>
      <w:r w:rsidR="00386B42" w:rsidRPr="007E5185">
        <w:rPr>
          <w:rFonts w:eastAsia="Calibri"/>
          <w:sz w:val="22"/>
        </w:rPr>
        <w:t xml:space="preserve">the </w:t>
      </w:r>
      <w:r w:rsidRPr="007E5185">
        <w:rPr>
          <w:rFonts w:eastAsia="Calibri"/>
          <w:sz w:val="22"/>
        </w:rPr>
        <w:t xml:space="preserve">treatment. The control groups </w:t>
      </w:r>
      <w:r w:rsidR="002E74E3" w:rsidRPr="007E5185">
        <w:rPr>
          <w:rFonts w:eastAsia="Calibri"/>
          <w:sz w:val="22"/>
        </w:rPr>
        <w:t>were</w:t>
      </w:r>
      <w:r w:rsidRPr="007E5185">
        <w:rPr>
          <w:rFonts w:eastAsia="Calibri"/>
          <w:sz w:val="22"/>
        </w:rPr>
        <w:t xml:space="preserve"> taught by the method traditionally used </w:t>
      </w:r>
      <w:r w:rsidR="00FC771B">
        <w:rPr>
          <w:rFonts w:eastAsia="Calibri"/>
          <w:sz w:val="22"/>
        </w:rPr>
        <w:t xml:space="preserve">by the teacher in such classes. </w:t>
      </w:r>
      <w:r w:rsidRPr="007E5185">
        <w:rPr>
          <w:rFonts w:eastAsia="Calibri"/>
          <w:sz w:val="22"/>
        </w:rPr>
        <w:t>Finally, a</w:t>
      </w:r>
      <w:r w:rsidR="007D439C" w:rsidRPr="007E5185">
        <w:rPr>
          <w:rFonts w:eastAsia="Calibri"/>
          <w:sz w:val="22"/>
        </w:rPr>
        <w:t>nother parallel</w:t>
      </w:r>
      <w:r w:rsidRPr="007E5185">
        <w:rPr>
          <w:rFonts w:eastAsia="Calibri"/>
          <w:sz w:val="22"/>
        </w:rPr>
        <w:t xml:space="preserve"> </w:t>
      </w:r>
      <w:r w:rsidR="00BB4192" w:rsidRPr="00BB4192">
        <w:rPr>
          <w:rFonts w:eastAsia="Calibri"/>
          <w:sz w:val="22"/>
        </w:rPr>
        <w:t xml:space="preserve">IELTS Mock </w:t>
      </w:r>
      <w:r w:rsidRPr="007E5185">
        <w:rPr>
          <w:rFonts w:eastAsia="Calibri"/>
          <w:sz w:val="22"/>
        </w:rPr>
        <w:t xml:space="preserve">speaking test </w:t>
      </w:r>
      <w:r w:rsidR="002E74E3" w:rsidRPr="007E5185">
        <w:rPr>
          <w:rFonts w:eastAsia="Calibri"/>
          <w:sz w:val="22"/>
        </w:rPr>
        <w:t>was</w:t>
      </w:r>
      <w:r w:rsidRPr="007E5185">
        <w:rPr>
          <w:rFonts w:eastAsia="Calibri"/>
          <w:sz w:val="22"/>
        </w:rPr>
        <w:t xml:space="preserve"> administered as </w:t>
      </w:r>
      <w:r w:rsidR="00864844" w:rsidRPr="007E5185">
        <w:rPr>
          <w:rFonts w:eastAsia="Calibri"/>
          <w:sz w:val="22"/>
        </w:rPr>
        <w:t xml:space="preserve">the </w:t>
      </w:r>
      <w:r w:rsidRPr="007E5185">
        <w:rPr>
          <w:rFonts w:eastAsia="Calibri"/>
          <w:sz w:val="22"/>
        </w:rPr>
        <w:t xml:space="preserve">posttest to </w:t>
      </w:r>
      <w:r w:rsidR="00386B42" w:rsidRPr="007E5185">
        <w:rPr>
          <w:rFonts w:eastAsia="Calibri"/>
          <w:sz w:val="22"/>
        </w:rPr>
        <w:t>measure the possible effe</w:t>
      </w:r>
      <w:r w:rsidR="008233C1" w:rsidRPr="007E5185">
        <w:rPr>
          <w:rFonts w:eastAsia="Calibri"/>
          <w:sz w:val="22"/>
        </w:rPr>
        <w:t>ct of the treatment.</w:t>
      </w:r>
      <w:r w:rsidR="00183650">
        <w:rPr>
          <w:rFonts w:eastAsia="Calibri"/>
          <w:sz w:val="22"/>
        </w:rPr>
        <w:t xml:space="preserve"> </w:t>
      </w:r>
      <w:r w:rsidR="00F77BBF" w:rsidRPr="007E5185">
        <w:rPr>
          <w:rFonts w:eastAsia="Calibri"/>
          <w:sz w:val="22"/>
        </w:rPr>
        <w:t>The tests were scored based on the IELTS speaking band descriptor (0-9) by t</w:t>
      </w:r>
      <w:r w:rsidR="00D7231E" w:rsidRPr="007E5185">
        <w:rPr>
          <w:rFonts w:eastAsia="Calibri"/>
          <w:sz w:val="22"/>
        </w:rPr>
        <w:t xml:space="preserve">hree </w:t>
      </w:r>
      <w:r w:rsidR="00BB4192">
        <w:rPr>
          <w:rFonts w:eastAsia="Calibri"/>
          <w:sz w:val="22"/>
        </w:rPr>
        <w:t xml:space="preserve">trained and experienced </w:t>
      </w:r>
      <w:r w:rsidR="00D7231E" w:rsidRPr="007E5185">
        <w:rPr>
          <w:rFonts w:eastAsia="Calibri"/>
          <w:sz w:val="22"/>
        </w:rPr>
        <w:t>EFL teachers whose scores on the IELTS speaking test were eight and above</w:t>
      </w:r>
      <w:r w:rsidR="00F77BBF" w:rsidRPr="007E5185">
        <w:rPr>
          <w:rFonts w:eastAsia="Calibri"/>
          <w:sz w:val="22"/>
        </w:rPr>
        <w:t>.</w:t>
      </w:r>
      <w:r w:rsidR="00D7231E" w:rsidRPr="007E5185">
        <w:rPr>
          <w:rFonts w:eastAsia="Calibri"/>
          <w:sz w:val="22"/>
        </w:rPr>
        <w:t xml:space="preserve"> </w:t>
      </w:r>
      <w:r w:rsidRPr="007E5185">
        <w:rPr>
          <w:rFonts w:eastAsia="Calibri"/>
          <w:sz w:val="22"/>
        </w:rPr>
        <w:t xml:space="preserve">The results </w:t>
      </w:r>
      <w:r w:rsidR="002E74E3" w:rsidRPr="007E5185">
        <w:rPr>
          <w:rFonts w:eastAsia="Calibri"/>
          <w:sz w:val="22"/>
        </w:rPr>
        <w:t>were</w:t>
      </w:r>
      <w:r w:rsidRPr="007E5185">
        <w:rPr>
          <w:rFonts w:eastAsia="Calibri"/>
          <w:sz w:val="22"/>
        </w:rPr>
        <w:t xml:space="preserve"> compared to examine the effect of t</w:t>
      </w:r>
      <w:r w:rsidR="001D490C" w:rsidRPr="007E5185">
        <w:rPr>
          <w:rFonts w:eastAsia="Calibri"/>
          <w:sz w:val="22"/>
        </w:rPr>
        <w:t>he t</w:t>
      </w:r>
      <w:r w:rsidRPr="007E5185">
        <w:rPr>
          <w:rFonts w:eastAsia="Calibri"/>
          <w:sz w:val="22"/>
        </w:rPr>
        <w:t xml:space="preserve">reatment. The reliability of the </w:t>
      </w:r>
      <w:r w:rsidR="00152BB1">
        <w:rPr>
          <w:rFonts w:eastAsia="Calibri"/>
          <w:sz w:val="22"/>
        </w:rPr>
        <w:t xml:space="preserve">scores on the </w:t>
      </w:r>
      <w:r w:rsidRPr="007E5185">
        <w:rPr>
          <w:rFonts w:eastAsia="Calibri"/>
          <w:sz w:val="22"/>
        </w:rPr>
        <w:t xml:space="preserve">tests </w:t>
      </w:r>
      <w:r w:rsidR="002E74E3" w:rsidRPr="007E5185">
        <w:rPr>
          <w:rFonts w:eastAsia="Calibri"/>
          <w:sz w:val="22"/>
        </w:rPr>
        <w:t>was</w:t>
      </w:r>
      <w:r w:rsidRPr="007E5185">
        <w:rPr>
          <w:rFonts w:eastAsia="Calibri"/>
          <w:sz w:val="22"/>
        </w:rPr>
        <w:t xml:space="preserve"> checked </w:t>
      </w:r>
      <w:r w:rsidR="000D35DC" w:rsidRPr="007E5185">
        <w:rPr>
          <w:rFonts w:eastAsia="Calibri"/>
          <w:sz w:val="22"/>
        </w:rPr>
        <w:t>by</w:t>
      </w:r>
      <w:r w:rsidRPr="007E5185">
        <w:rPr>
          <w:rFonts w:eastAsia="Calibri"/>
          <w:sz w:val="22"/>
        </w:rPr>
        <w:t xml:space="preserve"> measuring inter</w:t>
      </w:r>
      <w:r w:rsidR="000C2FF9" w:rsidRPr="007E5185">
        <w:rPr>
          <w:rFonts w:eastAsia="Calibri"/>
          <w:sz w:val="22"/>
        </w:rPr>
        <w:t>-</w:t>
      </w:r>
      <w:r w:rsidRPr="007E5185">
        <w:rPr>
          <w:rFonts w:eastAsia="Calibri"/>
          <w:sz w:val="22"/>
        </w:rPr>
        <w:t>rater reliability (IRR)</w:t>
      </w:r>
      <w:r w:rsidR="00183650" w:rsidRPr="00183650">
        <w:rPr>
          <w:rFonts w:eastAsia="Calibri"/>
          <w:sz w:val="22"/>
        </w:rPr>
        <w:t xml:space="preserve"> (Houston, 2007)</w:t>
      </w:r>
      <w:r w:rsidR="00183650">
        <w:rPr>
          <w:rFonts w:eastAsia="Calibri"/>
          <w:sz w:val="22"/>
        </w:rPr>
        <w:t>, utilizing Pearson Product Correlation Coefficient</w:t>
      </w:r>
      <w:r w:rsidR="00152BB1">
        <w:rPr>
          <w:rFonts w:eastAsia="Calibri"/>
          <w:sz w:val="22"/>
        </w:rPr>
        <w:t>.</w:t>
      </w:r>
      <w:r w:rsidR="00183650">
        <w:rPr>
          <w:rFonts w:eastAsia="Calibri"/>
          <w:sz w:val="22"/>
        </w:rPr>
        <w:t xml:space="preserve"> </w:t>
      </w:r>
      <w:r w:rsidR="00152BB1">
        <w:rPr>
          <w:rFonts w:eastAsia="Calibri"/>
          <w:sz w:val="22"/>
        </w:rPr>
        <w:t>The</w:t>
      </w:r>
      <w:r w:rsidR="00183650">
        <w:rPr>
          <w:rFonts w:eastAsia="Calibri"/>
          <w:sz w:val="22"/>
        </w:rPr>
        <w:t xml:space="preserve"> results have been presented in the Table 1 below.</w:t>
      </w:r>
      <w:r w:rsidR="00A0316A" w:rsidRPr="007E5185">
        <w:rPr>
          <w:rFonts w:eastAsia="Calibri"/>
          <w:sz w:val="22"/>
        </w:rPr>
        <w:t xml:space="preserve"> </w:t>
      </w:r>
    </w:p>
    <w:p w14:paraId="02BF56F7" w14:textId="77777777" w:rsidR="00295A95" w:rsidRDefault="00295A95" w:rsidP="00146C86">
      <w:pPr>
        <w:widowControl w:val="0"/>
        <w:autoSpaceDE w:val="0"/>
        <w:autoSpaceDN w:val="0"/>
        <w:adjustRightInd w:val="0"/>
        <w:spacing w:after="120" w:line="240" w:lineRule="auto"/>
        <w:ind w:left="115" w:right="72" w:firstLine="562"/>
        <w:jc w:val="both"/>
        <w:rPr>
          <w:rFonts w:eastAsia="Calibri"/>
          <w:sz w:val="22"/>
        </w:rPr>
      </w:pPr>
    </w:p>
    <w:p w14:paraId="5DE8FEFC" w14:textId="77777777" w:rsidR="00134700" w:rsidRDefault="00134700" w:rsidP="00134700">
      <w:pPr>
        <w:widowControl w:val="0"/>
        <w:autoSpaceDE w:val="0"/>
        <w:autoSpaceDN w:val="0"/>
        <w:adjustRightInd w:val="0"/>
        <w:spacing w:after="0" w:line="240" w:lineRule="auto"/>
        <w:jc w:val="both"/>
        <w:rPr>
          <w:rFonts w:eastAsia="Calibri"/>
          <w:sz w:val="22"/>
        </w:rPr>
      </w:pPr>
    </w:p>
    <w:p w14:paraId="4E8B0002" w14:textId="77777777" w:rsidR="00134700" w:rsidRPr="00295A95" w:rsidRDefault="00134700" w:rsidP="00E93D2F">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Table 1</w:t>
      </w:r>
      <w:r w:rsidR="00E93D2F"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Inter-rater Reliability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0"/>
      </w:tblGrid>
      <w:tr w:rsidR="00134700" w:rsidRPr="00295A95" w14:paraId="2DB02ED7" w14:textId="77777777" w:rsidTr="00E93D2F">
        <w:trPr>
          <w:trHeight w:val="372"/>
          <w:jc w:val="center"/>
        </w:trPr>
        <w:tc>
          <w:tcPr>
            <w:tcW w:w="6540" w:type="dxa"/>
            <w:tcBorders>
              <w:left w:val="nil"/>
              <w:right w:val="nil"/>
            </w:tcBorders>
          </w:tcPr>
          <w:p w14:paraId="458C2D3C" w14:textId="77777777" w:rsidR="00134700" w:rsidRPr="00295A95" w:rsidRDefault="00134700" w:rsidP="00134700">
            <w:pPr>
              <w:widowControl w:val="0"/>
              <w:autoSpaceDE w:val="0"/>
              <w:autoSpaceDN w:val="0"/>
              <w:adjustRightInd w:val="0"/>
              <w:spacing w:after="0" w:line="240" w:lineRule="auto"/>
              <w:ind w:firstLine="360"/>
              <w:jc w:val="both"/>
              <w:rPr>
                <w:rFonts w:eastAsia="Calibri"/>
                <w:sz w:val="20"/>
                <w:szCs w:val="20"/>
              </w:rPr>
            </w:pPr>
            <w:r w:rsidRPr="00295A95">
              <w:rPr>
                <w:rFonts w:eastAsia="Calibri"/>
                <w:sz w:val="20"/>
                <w:szCs w:val="20"/>
              </w:rPr>
              <w:t xml:space="preserve">                  EG1       EG2       EG3       EC1       EC2       EC3</w:t>
            </w:r>
          </w:p>
        </w:tc>
      </w:tr>
    </w:tbl>
    <w:p w14:paraId="5B01B1FD" w14:textId="77777777" w:rsidR="00134700" w:rsidRPr="00295A95" w:rsidRDefault="00134700" w:rsidP="00134700">
      <w:pPr>
        <w:widowControl w:val="0"/>
        <w:autoSpaceDE w:val="0"/>
        <w:autoSpaceDN w:val="0"/>
        <w:adjustRightInd w:val="0"/>
        <w:spacing w:after="0" w:line="240" w:lineRule="auto"/>
        <w:ind w:firstLine="360"/>
        <w:jc w:val="both"/>
        <w:rPr>
          <w:rFonts w:eastAsia="Calibri"/>
          <w:sz w:val="20"/>
          <w:szCs w:val="20"/>
        </w:rPr>
      </w:pPr>
      <w:r w:rsidRPr="00295A95">
        <w:rPr>
          <w:rFonts w:eastAsia="Calibri"/>
          <w:sz w:val="20"/>
          <w:szCs w:val="20"/>
        </w:rPr>
        <w:t xml:space="preserve"> </w:t>
      </w:r>
      <w:r w:rsidR="00E93D2F" w:rsidRPr="00295A95">
        <w:rPr>
          <w:rFonts w:eastAsia="Calibri"/>
          <w:sz w:val="20"/>
          <w:szCs w:val="20"/>
        </w:rPr>
        <w:t xml:space="preserve">                         </w:t>
      </w:r>
      <w:r w:rsidRPr="00295A95">
        <w:rPr>
          <w:rFonts w:eastAsia="Calibri"/>
          <w:sz w:val="20"/>
          <w:szCs w:val="20"/>
        </w:rPr>
        <w:t xml:space="preserve"> </w:t>
      </w:r>
      <w:r w:rsidR="00E4270D" w:rsidRPr="00295A95">
        <w:rPr>
          <w:rFonts w:eastAsia="Calibri"/>
          <w:sz w:val="20"/>
          <w:szCs w:val="20"/>
        </w:rPr>
        <w:t xml:space="preserve">   </w:t>
      </w:r>
      <w:r w:rsidRPr="00295A95">
        <w:rPr>
          <w:rFonts w:eastAsia="Calibri"/>
          <w:sz w:val="20"/>
          <w:szCs w:val="20"/>
        </w:rPr>
        <w:t>Pretest        .91         .86         .79         .81          .92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2"/>
      </w:tblGrid>
      <w:tr w:rsidR="00134700" w:rsidRPr="00295A95" w14:paraId="4BCF01EB" w14:textId="77777777" w:rsidTr="00E93D2F">
        <w:trPr>
          <w:trHeight w:val="372"/>
          <w:jc w:val="center"/>
        </w:trPr>
        <w:tc>
          <w:tcPr>
            <w:tcW w:w="6552" w:type="dxa"/>
            <w:tcBorders>
              <w:left w:val="nil"/>
              <w:right w:val="nil"/>
            </w:tcBorders>
          </w:tcPr>
          <w:p w14:paraId="6B16267A" w14:textId="77777777" w:rsidR="00134700" w:rsidRPr="00295A95" w:rsidRDefault="00134700" w:rsidP="00134700">
            <w:pPr>
              <w:widowControl w:val="0"/>
              <w:autoSpaceDE w:val="0"/>
              <w:autoSpaceDN w:val="0"/>
              <w:adjustRightInd w:val="0"/>
              <w:spacing w:after="0" w:line="240" w:lineRule="auto"/>
              <w:ind w:firstLine="360"/>
              <w:jc w:val="both"/>
              <w:rPr>
                <w:rFonts w:eastAsia="Calibri"/>
                <w:sz w:val="20"/>
                <w:szCs w:val="20"/>
              </w:rPr>
            </w:pPr>
            <w:r w:rsidRPr="00295A95">
              <w:rPr>
                <w:rFonts w:eastAsia="Calibri"/>
                <w:sz w:val="20"/>
                <w:szCs w:val="20"/>
              </w:rPr>
              <w:t>Posttest      .89         .88         .83         .87          . 86        .90</w:t>
            </w:r>
          </w:p>
        </w:tc>
      </w:tr>
    </w:tbl>
    <w:p w14:paraId="44FD010D" w14:textId="77777777" w:rsidR="00684DCB" w:rsidRDefault="00684DCB" w:rsidP="00E93D2F">
      <w:pPr>
        <w:widowControl w:val="0"/>
        <w:autoSpaceDE w:val="0"/>
        <w:autoSpaceDN w:val="0"/>
        <w:adjustRightInd w:val="0"/>
        <w:spacing w:after="120" w:line="240" w:lineRule="auto"/>
        <w:ind w:left="115" w:right="72"/>
        <w:jc w:val="both"/>
        <w:rPr>
          <w:rFonts w:eastAsia="Calibri" w:cs="Times New Roman"/>
          <w:sz w:val="22"/>
          <w:lang w:bidi="fa-IR"/>
        </w:rPr>
      </w:pPr>
    </w:p>
    <w:p w14:paraId="35646A27" w14:textId="77777777" w:rsidR="00B26E4F" w:rsidRPr="007E5185" w:rsidRDefault="00A0316A" w:rsidP="00E93D2F">
      <w:pPr>
        <w:widowControl w:val="0"/>
        <w:autoSpaceDE w:val="0"/>
        <w:autoSpaceDN w:val="0"/>
        <w:adjustRightInd w:val="0"/>
        <w:spacing w:after="120" w:line="240" w:lineRule="auto"/>
        <w:ind w:left="115" w:right="72"/>
        <w:jc w:val="both"/>
        <w:rPr>
          <w:rFonts w:eastAsia="Calibri" w:cs="Times New Roman"/>
          <w:sz w:val="22"/>
          <w:lang w:bidi="fa-IR"/>
        </w:rPr>
      </w:pPr>
      <w:r w:rsidRPr="007E5185">
        <w:rPr>
          <w:rFonts w:eastAsia="Calibri" w:cs="Times New Roman"/>
          <w:sz w:val="22"/>
          <w:lang w:bidi="fa-IR"/>
        </w:rPr>
        <w:t xml:space="preserve">The purpose </w:t>
      </w:r>
      <w:r w:rsidR="001D490C" w:rsidRPr="007E5185">
        <w:rPr>
          <w:rFonts w:eastAsia="Calibri" w:cs="Times New Roman"/>
          <w:sz w:val="22"/>
          <w:lang w:bidi="fa-IR"/>
        </w:rPr>
        <w:t xml:space="preserve">of </w:t>
      </w:r>
      <w:r w:rsidR="00A07400">
        <w:rPr>
          <w:rFonts w:eastAsia="Calibri" w:cs="Times New Roman"/>
          <w:sz w:val="22"/>
          <w:lang w:bidi="fa-IR"/>
        </w:rPr>
        <w:t xml:space="preserve">the </w:t>
      </w:r>
      <w:r w:rsidR="001D490C" w:rsidRPr="007E5185">
        <w:rPr>
          <w:rFonts w:eastAsia="Calibri" w:cs="Times New Roman"/>
          <w:sz w:val="22"/>
          <w:lang w:bidi="fa-IR"/>
        </w:rPr>
        <w:t xml:space="preserve">students' engagement in learning, teaching, and assessment </w:t>
      </w:r>
      <w:r w:rsidRPr="007E5185">
        <w:rPr>
          <w:rFonts w:eastAsia="Calibri" w:cs="Times New Roman"/>
          <w:sz w:val="22"/>
          <w:lang w:bidi="fa-IR"/>
        </w:rPr>
        <w:t>was to include the entire class and ensure an inclusive approach to partnership.</w:t>
      </w:r>
      <w:r w:rsidRPr="007E5185">
        <w:rPr>
          <w:rFonts w:eastAsia="Calibri"/>
          <w:sz w:val="22"/>
        </w:rPr>
        <w:t xml:space="preserve"> During their engagement, the students shared responsibilities so that each was responsible for the well-being of others, as well as </w:t>
      </w:r>
      <w:r w:rsidR="000D35DC" w:rsidRPr="007E5185">
        <w:rPr>
          <w:rFonts w:eastAsia="Calibri"/>
          <w:sz w:val="22"/>
        </w:rPr>
        <w:t>his/her</w:t>
      </w:r>
      <w:r w:rsidRPr="007E5185">
        <w:rPr>
          <w:rFonts w:eastAsia="Calibri"/>
          <w:sz w:val="22"/>
        </w:rPr>
        <w:t xml:space="preserve"> own progress.</w:t>
      </w:r>
      <w:r w:rsidR="00342109" w:rsidRPr="007E5185">
        <w:rPr>
          <w:rFonts w:eastAsia="Calibri" w:cs="Times New Roman"/>
          <w:sz w:val="22"/>
          <w:lang w:bidi="fa-IR"/>
        </w:rPr>
        <w:t xml:space="preserve"> </w:t>
      </w:r>
      <w:r w:rsidR="00C145D7" w:rsidRPr="007E5185">
        <w:rPr>
          <w:rFonts w:eastAsia="Calibri"/>
          <w:sz w:val="22"/>
        </w:rPr>
        <w:t>Lesson plans include</w:t>
      </w:r>
      <w:r w:rsidR="00B37B1A" w:rsidRPr="007E5185">
        <w:rPr>
          <w:rFonts w:eastAsia="Calibri"/>
          <w:sz w:val="22"/>
        </w:rPr>
        <w:t>d</w:t>
      </w:r>
      <w:r w:rsidR="00C145D7" w:rsidRPr="007E5185">
        <w:rPr>
          <w:rFonts w:eastAsia="Calibri"/>
          <w:sz w:val="22"/>
        </w:rPr>
        <w:t xml:space="preserve"> activities suitable for the </w:t>
      </w:r>
      <w:r w:rsidR="00C71768" w:rsidRPr="007E5185">
        <w:rPr>
          <w:rFonts w:eastAsia="Calibri"/>
          <w:sz w:val="22"/>
        </w:rPr>
        <w:t>stude</w:t>
      </w:r>
      <w:r w:rsidR="00C145D7" w:rsidRPr="007E5185">
        <w:rPr>
          <w:rFonts w:eastAsia="Calibri"/>
          <w:sz w:val="22"/>
        </w:rPr>
        <w:t xml:space="preserve">nts in each group based on their level of language knowledge that </w:t>
      </w:r>
      <w:r w:rsidR="00B37B1A" w:rsidRPr="007E5185">
        <w:rPr>
          <w:rFonts w:eastAsia="Calibri"/>
          <w:sz w:val="22"/>
        </w:rPr>
        <w:t>w</w:t>
      </w:r>
      <w:r w:rsidR="002733C6" w:rsidRPr="007E5185">
        <w:rPr>
          <w:rFonts w:eastAsia="Calibri"/>
          <w:sz w:val="22"/>
        </w:rPr>
        <w:t>as</w:t>
      </w:r>
      <w:r w:rsidR="00C145D7" w:rsidRPr="007E5185">
        <w:rPr>
          <w:rFonts w:eastAsia="Calibri"/>
          <w:sz w:val="22"/>
        </w:rPr>
        <w:t xml:space="preserve"> designed </w:t>
      </w:r>
      <w:r w:rsidR="002733C6" w:rsidRPr="007E5185">
        <w:rPr>
          <w:rFonts w:eastAsia="Calibri"/>
          <w:sz w:val="22"/>
        </w:rPr>
        <w:t>with</w:t>
      </w:r>
      <w:r w:rsidR="00C145D7" w:rsidRPr="007E5185">
        <w:rPr>
          <w:rFonts w:eastAsia="Calibri"/>
          <w:sz w:val="22"/>
        </w:rPr>
        <w:t xml:space="preserve"> the assistance of the learners themselves.</w:t>
      </w:r>
      <w:r w:rsidR="000C2FF9" w:rsidRPr="007E5185">
        <w:rPr>
          <w:rFonts w:eastAsia="Calibri"/>
          <w:sz w:val="22"/>
        </w:rPr>
        <w:t xml:space="preserve"> </w:t>
      </w:r>
      <w:r w:rsidR="00B32001" w:rsidRPr="007E5185">
        <w:rPr>
          <w:rFonts w:eastAsia="Calibri" w:cs="Times New Roman"/>
          <w:sz w:val="22"/>
          <w:lang w:bidi="fa-IR"/>
        </w:rPr>
        <w:t>A small-</w:t>
      </w:r>
      <w:r w:rsidR="000D1047" w:rsidRPr="007E5185">
        <w:rPr>
          <w:rFonts w:eastAsia="Calibri" w:cs="Times New Roman"/>
          <w:sz w:val="22"/>
          <w:lang w:bidi="fa-IR"/>
        </w:rPr>
        <w:t>scale pilot study was carried out to test aspects of the data collection methods and sort out any unexpected problems in advance of the main data collection activities.</w:t>
      </w:r>
    </w:p>
    <w:p w14:paraId="68493474" w14:textId="77777777" w:rsidR="009E2469" w:rsidRPr="007E5185" w:rsidRDefault="000C2FF9" w:rsidP="00146C86">
      <w:pPr>
        <w:widowControl w:val="0"/>
        <w:autoSpaceDE w:val="0"/>
        <w:autoSpaceDN w:val="0"/>
        <w:adjustRightInd w:val="0"/>
        <w:spacing w:after="120" w:line="240" w:lineRule="auto"/>
        <w:ind w:left="115" w:right="72" w:firstLine="562"/>
        <w:jc w:val="both"/>
        <w:rPr>
          <w:rFonts w:eastAsia="Calibri" w:cs="Times New Roman"/>
          <w:sz w:val="22"/>
          <w:lang w:bidi="fa-IR"/>
        </w:rPr>
      </w:pPr>
      <w:r w:rsidRPr="007E5185">
        <w:rPr>
          <w:rFonts w:eastAsia="Calibri" w:cs="Times New Roman"/>
          <w:sz w:val="22"/>
          <w:lang w:bidi="fa-IR"/>
        </w:rPr>
        <w:t xml:space="preserve">For every teaching or </w:t>
      </w:r>
      <w:r w:rsidR="00B26E4F" w:rsidRPr="007E5185">
        <w:rPr>
          <w:rFonts w:eastAsia="Calibri" w:cs="Times New Roman"/>
          <w:sz w:val="22"/>
          <w:lang w:bidi="fa-IR"/>
        </w:rPr>
        <w:t xml:space="preserve">learning module, data collection activities </w:t>
      </w:r>
      <w:r w:rsidR="0061381C" w:rsidRPr="007E5185">
        <w:rPr>
          <w:rFonts w:eastAsia="Calibri" w:cs="Times New Roman"/>
          <w:sz w:val="22"/>
          <w:lang w:bidi="fa-IR"/>
        </w:rPr>
        <w:t>were</w:t>
      </w:r>
      <w:r w:rsidR="00B26E4F" w:rsidRPr="007E5185">
        <w:rPr>
          <w:rFonts w:eastAsia="Calibri" w:cs="Times New Roman"/>
          <w:sz w:val="22"/>
          <w:lang w:bidi="fa-IR"/>
        </w:rPr>
        <w:t xml:space="preserve"> completed throughout the project so that data </w:t>
      </w:r>
      <w:r w:rsidR="0061381C" w:rsidRPr="007E5185">
        <w:rPr>
          <w:rFonts w:eastAsia="Calibri" w:cs="Times New Roman"/>
          <w:sz w:val="22"/>
          <w:lang w:bidi="fa-IR"/>
        </w:rPr>
        <w:t>were</w:t>
      </w:r>
      <w:r w:rsidR="00B26E4F" w:rsidRPr="007E5185">
        <w:rPr>
          <w:rFonts w:eastAsia="Calibri" w:cs="Times New Roman"/>
          <w:sz w:val="22"/>
          <w:lang w:bidi="fa-IR"/>
        </w:rPr>
        <w:t xml:space="preserve"> collected at stages of particular interest. All </w:t>
      </w:r>
      <w:r w:rsidR="00FB0BC7" w:rsidRPr="007E5185">
        <w:rPr>
          <w:rFonts w:eastAsia="Calibri" w:cs="Times New Roman"/>
          <w:sz w:val="22"/>
          <w:lang w:bidi="fa-IR"/>
        </w:rPr>
        <w:t xml:space="preserve">the </w:t>
      </w:r>
      <w:r w:rsidR="002B71E7" w:rsidRPr="007E5185">
        <w:rPr>
          <w:rFonts w:eastAsia="Calibri" w:cs="Times New Roman"/>
          <w:sz w:val="22"/>
          <w:lang w:bidi="fa-IR"/>
        </w:rPr>
        <w:t>stude</w:t>
      </w:r>
      <w:r w:rsidR="00B26E4F" w:rsidRPr="007E5185">
        <w:rPr>
          <w:rFonts w:eastAsia="Calibri" w:cs="Times New Roman"/>
          <w:sz w:val="22"/>
          <w:lang w:bidi="fa-IR"/>
        </w:rPr>
        <w:t xml:space="preserve">nts </w:t>
      </w:r>
      <w:r w:rsidR="00D7231E" w:rsidRPr="007E5185">
        <w:rPr>
          <w:rFonts w:eastAsia="Calibri" w:cs="Times New Roman"/>
          <w:sz w:val="22"/>
          <w:lang w:bidi="fa-IR"/>
        </w:rPr>
        <w:t>participated in</w:t>
      </w:r>
      <w:r w:rsidR="00B26E4F" w:rsidRPr="007E5185">
        <w:rPr>
          <w:rFonts w:eastAsia="Calibri" w:cs="Times New Roman"/>
          <w:sz w:val="22"/>
          <w:lang w:bidi="fa-IR"/>
        </w:rPr>
        <w:t xml:space="preserve"> different aspects of </w:t>
      </w:r>
      <w:r w:rsidR="00B8002B" w:rsidRPr="007E5185">
        <w:rPr>
          <w:rFonts w:eastAsia="Calibri" w:cs="Times New Roman"/>
          <w:sz w:val="22"/>
          <w:lang w:bidi="fa-IR"/>
        </w:rPr>
        <w:t xml:space="preserve">the </w:t>
      </w:r>
      <w:r w:rsidR="00B26E4F" w:rsidRPr="007E5185">
        <w:rPr>
          <w:rFonts w:eastAsia="Calibri" w:cs="Times New Roman"/>
          <w:sz w:val="22"/>
          <w:lang w:bidi="fa-IR"/>
        </w:rPr>
        <w:t>data collection activity. T</w:t>
      </w:r>
      <w:r w:rsidR="00D7231E" w:rsidRPr="007E5185">
        <w:rPr>
          <w:rFonts w:eastAsia="Calibri" w:cs="Times New Roman"/>
          <w:sz w:val="22"/>
          <w:lang w:bidi="fa-IR"/>
        </w:rPr>
        <w:t>he t</w:t>
      </w:r>
      <w:r w:rsidR="00B26E4F" w:rsidRPr="007E5185">
        <w:rPr>
          <w:rFonts w:eastAsia="Calibri" w:cs="Times New Roman"/>
          <w:sz w:val="22"/>
          <w:lang w:bidi="fa-IR"/>
        </w:rPr>
        <w:t>eacher monitor</w:t>
      </w:r>
      <w:r w:rsidR="0061381C" w:rsidRPr="007E5185">
        <w:rPr>
          <w:rFonts w:eastAsia="Calibri" w:cs="Times New Roman"/>
          <w:sz w:val="22"/>
          <w:lang w:bidi="fa-IR"/>
        </w:rPr>
        <w:t>ed</w:t>
      </w:r>
      <w:r w:rsidR="00B26E4F" w:rsidRPr="007E5185">
        <w:rPr>
          <w:rFonts w:eastAsia="Calibri" w:cs="Times New Roman"/>
          <w:sz w:val="22"/>
          <w:lang w:bidi="fa-IR"/>
        </w:rPr>
        <w:t xml:space="preserve"> the data collection activities and provide</w:t>
      </w:r>
      <w:r w:rsidR="0061381C" w:rsidRPr="007E5185">
        <w:rPr>
          <w:rFonts w:eastAsia="Calibri" w:cs="Times New Roman"/>
          <w:sz w:val="22"/>
          <w:lang w:bidi="fa-IR"/>
        </w:rPr>
        <w:t>d</w:t>
      </w:r>
      <w:r w:rsidR="00B26E4F" w:rsidRPr="007E5185">
        <w:rPr>
          <w:rFonts w:eastAsia="Calibri" w:cs="Times New Roman"/>
          <w:sz w:val="22"/>
          <w:lang w:bidi="fa-IR"/>
        </w:rPr>
        <w:t xml:space="preserve"> any guidance/assist</w:t>
      </w:r>
      <w:r w:rsidR="00A915D5" w:rsidRPr="007E5185">
        <w:rPr>
          <w:rFonts w:eastAsia="Calibri" w:cs="Times New Roman"/>
          <w:sz w:val="22"/>
          <w:lang w:bidi="fa-IR"/>
        </w:rPr>
        <w:t xml:space="preserve">ance required by the students. </w:t>
      </w:r>
      <w:r w:rsidR="00E0430D" w:rsidRPr="007E5185">
        <w:rPr>
          <w:rFonts w:eastAsia="Calibri" w:cs="Times New Roman"/>
          <w:sz w:val="22"/>
          <w:lang w:bidi="fa-IR"/>
        </w:rPr>
        <w:t xml:space="preserve">Different learning strategies were employed alongside the project, involving making sentences related to the topic, role-playing, discussing the related issues and summarizing or finalizing the lesson of the modules. </w:t>
      </w:r>
      <w:r w:rsidR="00396F37" w:rsidRPr="007E5185">
        <w:rPr>
          <w:rFonts w:eastAsia="Calibri" w:cs="Times New Roman"/>
          <w:sz w:val="22"/>
          <w:lang w:bidi="fa-IR"/>
        </w:rPr>
        <w:t>The s</w:t>
      </w:r>
      <w:r w:rsidR="00E0430D" w:rsidRPr="007E5185">
        <w:rPr>
          <w:rFonts w:eastAsia="Calibri" w:cs="Times New Roman"/>
          <w:sz w:val="22"/>
          <w:lang w:bidi="fa-IR"/>
        </w:rPr>
        <w:t>tudents also participated in designing and developing cooperative activities</w:t>
      </w:r>
      <w:r w:rsidR="00215877" w:rsidRPr="007E5185">
        <w:rPr>
          <w:rFonts w:eastAsia="Calibri"/>
          <w:sz w:val="22"/>
        </w:rPr>
        <w:t xml:space="preserve"> such as pair/group work, open-ended activities, and closed ones</w:t>
      </w:r>
      <w:r w:rsidR="008233C1" w:rsidRPr="007E5185">
        <w:rPr>
          <w:rFonts w:eastAsia="Calibri" w:cs="Times New Roman"/>
          <w:sz w:val="22"/>
          <w:lang w:bidi="fa-IR"/>
        </w:rPr>
        <w:t>.</w:t>
      </w:r>
    </w:p>
    <w:p w14:paraId="5B6E419F" w14:textId="77777777" w:rsidR="00B26E4F" w:rsidRPr="007E5185" w:rsidRDefault="00E0430D" w:rsidP="00146C86">
      <w:pPr>
        <w:widowControl w:val="0"/>
        <w:autoSpaceDE w:val="0"/>
        <w:autoSpaceDN w:val="0"/>
        <w:adjustRightInd w:val="0"/>
        <w:spacing w:after="120" w:line="240" w:lineRule="auto"/>
        <w:ind w:left="115" w:right="72" w:firstLine="562"/>
        <w:jc w:val="both"/>
        <w:rPr>
          <w:rFonts w:eastAsia="Calibri" w:cs="Times New Roman"/>
          <w:sz w:val="22"/>
          <w:lang w:bidi="fa-IR"/>
        </w:rPr>
      </w:pPr>
      <w:r w:rsidRPr="007E5185">
        <w:rPr>
          <w:rFonts w:eastAsia="Calibri" w:cs="Times New Roman"/>
          <w:sz w:val="22"/>
          <w:lang w:bidi="fa-IR"/>
        </w:rPr>
        <w:t>The</w:t>
      </w:r>
      <w:r w:rsidR="00396F37" w:rsidRPr="007E5185">
        <w:rPr>
          <w:rFonts w:eastAsia="Calibri" w:cs="Times New Roman"/>
          <w:sz w:val="22"/>
          <w:lang w:bidi="fa-IR"/>
        </w:rPr>
        <w:t>y</w:t>
      </w:r>
      <w:r w:rsidRPr="007E5185">
        <w:rPr>
          <w:rFonts w:eastAsia="Calibri" w:cs="Times New Roman"/>
          <w:sz w:val="22"/>
          <w:lang w:bidi="fa-IR"/>
        </w:rPr>
        <w:t xml:space="preserve"> </w:t>
      </w:r>
      <w:r w:rsidR="00B25E13" w:rsidRPr="007E5185">
        <w:rPr>
          <w:rFonts w:eastAsia="Calibri" w:cs="Times New Roman"/>
          <w:sz w:val="22"/>
          <w:lang w:bidi="fa-IR"/>
        </w:rPr>
        <w:t>were</w:t>
      </w:r>
      <w:r w:rsidR="00B26E4F" w:rsidRPr="007E5185">
        <w:rPr>
          <w:rFonts w:eastAsia="Calibri" w:cs="Times New Roman"/>
          <w:sz w:val="22"/>
          <w:lang w:bidi="fa-IR"/>
        </w:rPr>
        <w:t xml:space="preserve"> encouraged to discuss each issue and ask and answer questions related to the topic.</w:t>
      </w:r>
      <w:r w:rsidRPr="007E5185">
        <w:rPr>
          <w:rFonts w:eastAsia="Calibri" w:cs="Times New Roman"/>
          <w:sz w:val="22"/>
          <w:lang w:bidi="fa-IR"/>
        </w:rPr>
        <w:t xml:space="preserve"> </w:t>
      </w:r>
      <w:r w:rsidR="00D7231E" w:rsidRPr="007E5185">
        <w:rPr>
          <w:rFonts w:eastAsia="Calibri" w:cs="Times New Roman"/>
          <w:sz w:val="22"/>
          <w:lang w:bidi="fa-IR"/>
        </w:rPr>
        <w:t>T</w:t>
      </w:r>
      <w:r w:rsidR="00B26E4F" w:rsidRPr="007E5185">
        <w:rPr>
          <w:rFonts w:eastAsia="Calibri" w:cs="Times New Roman"/>
          <w:sz w:val="22"/>
          <w:lang w:bidi="fa-IR"/>
        </w:rPr>
        <w:t xml:space="preserve">he questions </w:t>
      </w:r>
      <w:r w:rsidR="00B25E13" w:rsidRPr="007E5185">
        <w:rPr>
          <w:rFonts w:eastAsia="Calibri" w:cs="Times New Roman"/>
          <w:sz w:val="22"/>
          <w:lang w:bidi="fa-IR"/>
        </w:rPr>
        <w:t>were</w:t>
      </w:r>
      <w:r w:rsidR="00B26E4F" w:rsidRPr="007E5185">
        <w:rPr>
          <w:rFonts w:eastAsia="Calibri" w:cs="Times New Roman"/>
          <w:sz w:val="22"/>
          <w:lang w:bidi="fa-IR"/>
        </w:rPr>
        <w:t xml:space="preserve"> individual or group directed questions, teacher generated or students</w:t>
      </w:r>
      <w:r w:rsidR="00D62154" w:rsidRPr="007E5185">
        <w:rPr>
          <w:rFonts w:eastAsia="Calibri" w:cs="Times New Roman"/>
          <w:sz w:val="22"/>
          <w:lang w:bidi="fa-IR"/>
        </w:rPr>
        <w:t>'</w:t>
      </w:r>
      <w:r w:rsidR="00B26E4F" w:rsidRPr="007E5185">
        <w:rPr>
          <w:rFonts w:eastAsia="Calibri" w:cs="Times New Roman"/>
          <w:sz w:val="22"/>
          <w:lang w:bidi="fa-IR"/>
        </w:rPr>
        <w:t xml:space="preserve"> generated questions, factual or thinking questions, and responses to the questions </w:t>
      </w:r>
      <w:r w:rsidR="00B25E13" w:rsidRPr="007E5185">
        <w:rPr>
          <w:rFonts w:eastAsia="Calibri" w:cs="Times New Roman"/>
          <w:sz w:val="22"/>
          <w:lang w:bidi="fa-IR"/>
        </w:rPr>
        <w:t>were</w:t>
      </w:r>
      <w:r w:rsidR="00B26E4F" w:rsidRPr="007E5185">
        <w:rPr>
          <w:rFonts w:eastAsia="Calibri" w:cs="Times New Roman"/>
          <w:sz w:val="22"/>
          <w:lang w:bidi="fa-IR"/>
        </w:rPr>
        <w:t xml:space="preserve"> dealt with by the teacher and/or </w:t>
      </w:r>
      <w:r w:rsidRPr="007E5185">
        <w:rPr>
          <w:rFonts w:eastAsia="Calibri" w:cs="Times New Roman"/>
          <w:sz w:val="22"/>
          <w:lang w:bidi="fa-IR"/>
        </w:rPr>
        <w:t xml:space="preserve">the </w:t>
      </w:r>
      <w:r w:rsidR="00B26E4F" w:rsidRPr="007E5185">
        <w:rPr>
          <w:rFonts w:eastAsia="Calibri" w:cs="Times New Roman"/>
          <w:sz w:val="22"/>
          <w:lang w:bidi="fa-IR"/>
        </w:rPr>
        <w:t>students.</w:t>
      </w:r>
      <w:r w:rsidR="00D965F4" w:rsidRPr="007E5185">
        <w:rPr>
          <w:rFonts w:eastAsia="Calibri" w:cs="Times New Roman"/>
          <w:sz w:val="22"/>
          <w:lang w:bidi="fa-IR"/>
        </w:rPr>
        <w:t xml:space="preserve"> The</w:t>
      </w:r>
      <w:r w:rsidR="00B26E4F" w:rsidRPr="007E5185">
        <w:rPr>
          <w:rFonts w:eastAsia="Calibri" w:cs="Times New Roman"/>
          <w:sz w:val="22"/>
          <w:lang w:bidi="fa-IR"/>
        </w:rPr>
        <w:t xml:space="preserve"> collected </w:t>
      </w:r>
      <w:r w:rsidR="00D965F4" w:rsidRPr="007E5185">
        <w:rPr>
          <w:rFonts w:eastAsia="Calibri" w:cs="Times New Roman"/>
          <w:sz w:val="22"/>
          <w:lang w:bidi="fa-IR"/>
        </w:rPr>
        <w:t xml:space="preserve">data </w:t>
      </w:r>
      <w:r w:rsidR="00B25E13" w:rsidRPr="007E5185">
        <w:rPr>
          <w:rFonts w:eastAsia="Calibri" w:cs="Times New Roman"/>
          <w:sz w:val="22"/>
          <w:lang w:bidi="fa-IR"/>
        </w:rPr>
        <w:t>were</w:t>
      </w:r>
      <w:r w:rsidR="00B26E4F" w:rsidRPr="007E5185">
        <w:rPr>
          <w:rFonts w:eastAsia="Calibri" w:cs="Times New Roman"/>
          <w:sz w:val="22"/>
          <w:lang w:bidi="fa-IR"/>
        </w:rPr>
        <w:t xml:space="preserve"> shared by all members of the group</w:t>
      </w:r>
      <w:r w:rsidR="00A915D5" w:rsidRPr="007E5185">
        <w:rPr>
          <w:rFonts w:eastAsia="Calibri" w:cs="Times New Roman"/>
          <w:sz w:val="22"/>
          <w:lang w:bidi="fa-IR"/>
        </w:rPr>
        <w:t xml:space="preserve">. </w:t>
      </w:r>
      <w:r w:rsidR="00B26E4F" w:rsidRPr="007E5185">
        <w:rPr>
          <w:rFonts w:eastAsia="Calibri" w:cs="Times New Roman"/>
          <w:sz w:val="22"/>
          <w:lang w:bidi="fa-IR"/>
        </w:rPr>
        <w:t xml:space="preserve">It </w:t>
      </w:r>
      <w:r w:rsidR="00B25E13" w:rsidRPr="007E5185">
        <w:rPr>
          <w:rFonts w:eastAsia="Calibri" w:cs="Times New Roman"/>
          <w:sz w:val="22"/>
          <w:lang w:bidi="fa-IR"/>
        </w:rPr>
        <w:t>was</w:t>
      </w:r>
      <w:r w:rsidR="00B26E4F" w:rsidRPr="007E5185">
        <w:rPr>
          <w:rFonts w:eastAsia="Calibri" w:cs="Times New Roman"/>
          <w:sz w:val="22"/>
          <w:lang w:bidi="fa-IR"/>
        </w:rPr>
        <w:t xml:space="preserve"> tried to offer as many optional activities, tasks, and assignments as possible to provide the students chances to make more sensible choices.</w:t>
      </w:r>
      <w:r w:rsidR="000C2FF9" w:rsidRPr="007E5185">
        <w:rPr>
          <w:rFonts w:eastAsia="Calibri" w:cs="Times New Roman"/>
          <w:sz w:val="22"/>
          <w:lang w:bidi="fa-IR"/>
        </w:rPr>
        <w:t xml:space="preserve"> </w:t>
      </w:r>
      <w:r w:rsidR="00B26E4F" w:rsidRPr="007E5185">
        <w:rPr>
          <w:rFonts w:eastAsia="Calibri" w:cs="Times New Roman"/>
          <w:sz w:val="22"/>
          <w:lang w:bidi="fa-IR"/>
        </w:rPr>
        <w:t>The objective</w:t>
      </w:r>
      <w:r w:rsidR="00D7231E" w:rsidRPr="007E5185">
        <w:rPr>
          <w:rFonts w:eastAsia="Calibri" w:cs="Times New Roman"/>
          <w:sz w:val="22"/>
          <w:lang w:bidi="fa-IR"/>
        </w:rPr>
        <w:t>s</w:t>
      </w:r>
      <w:r w:rsidR="00B26E4F" w:rsidRPr="007E5185">
        <w:rPr>
          <w:rFonts w:eastAsia="Calibri" w:cs="Times New Roman"/>
          <w:sz w:val="22"/>
          <w:lang w:bidi="fa-IR"/>
        </w:rPr>
        <w:t xml:space="preserve"> </w:t>
      </w:r>
      <w:r w:rsidR="00D7231E" w:rsidRPr="007E5185">
        <w:rPr>
          <w:rFonts w:eastAsia="Calibri" w:cs="Times New Roman"/>
          <w:sz w:val="22"/>
          <w:lang w:bidi="fa-IR"/>
        </w:rPr>
        <w:t>were</w:t>
      </w:r>
      <w:r w:rsidR="00B26E4F" w:rsidRPr="007E5185">
        <w:rPr>
          <w:rFonts w:eastAsia="Calibri" w:cs="Times New Roman"/>
          <w:sz w:val="22"/>
          <w:lang w:bidi="fa-IR"/>
        </w:rPr>
        <w:t xml:space="preserve"> </w:t>
      </w:r>
      <w:r w:rsidR="00D7231E" w:rsidRPr="007E5185">
        <w:rPr>
          <w:rFonts w:eastAsia="Calibri" w:cs="Times New Roman"/>
          <w:sz w:val="22"/>
          <w:lang w:bidi="fa-IR"/>
        </w:rPr>
        <w:t xml:space="preserve">fostering </w:t>
      </w:r>
      <w:r w:rsidR="00D62154" w:rsidRPr="007E5185">
        <w:rPr>
          <w:rFonts w:eastAsia="Calibri" w:cs="Times New Roman"/>
          <w:sz w:val="22"/>
          <w:lang w:bidi="fa-IR"/>
        </w:rPr>
        <w:t xml:space="preserve">the </w:t>
      </w:r>
      <w:r w:rsidR="00D7231E" w:rsidRPr="007E5185">
        <w:rPr>
          <w:rFonts w:eastAsia="Calibri" w:cs="Times New Roman"/>
          <w:sz w:val="22"/>
          <w:lang w:bidi="fa-IR"/>
        </w:rPr>
        <w:t xml:space="preserve">continuous improvement of the students’ learning experiences and designing more appropriate contexts for teaching and learning through </w:t>
      </w:r>
      <w:r w:rsidR="00B26E4F" w:rsidRPr="007E5185">
        <w:rPr>
          <w:rFonts w:eastAsia="Calibri" w:cs="Times New Roman"/>
          <w:sz w:val="22"/>
          <w:lang w:bidi="fa-IR"/>
        </w:rPr>
        <w:t xml:space="preserve">composing lessons and activities which </w:t>
      </w:r>
      <w:r w:rsidR="00B25E13" w:rsidRPr="007E5185">
        <w:rPr>
          <w:rFonts w:eastAsia="Calibri" w:cs="Times New Roman"/>
          <w:sz w:val="22"/>
          <w:lang w:bidi="fa-IR"/>
        </w:rPr>
        <w:t>were</w:t>
      </w:r>
      <w:r w:rsidR="00B26E4F" w:rsidRPr="007E5185">
        <w:rPr>
          <w:rFonts w:eastAsia="Calibri" w:cs="Times New Roman"/>
          <w:sz w:val="22"/>
          <w:lang w:bidi="fa-IR"/>
        </w:rPr>
        <w:t xml:space="preserve"> interesting </w:t>
      </w:r>
      <w:r w:rsidR="00566555" w:rsidRPr="007E5185">
        <w:rPr>
          <w:rFonts w:eastAsia="Calibri" w:cs="Times New Roman"/>
          <w:sz w:val="22"/>
          <w:lang w:bidi="fa-IR"/>
        </w:rPr>
        <w:t>and useful regarding the topics</w:t>
      </w:r>
      <w:r w:rsidR="00B26E4F" w:rsidRPr="007E5185">
        <w:rPr>
          <w:rFonts w:eastAsia="Calibri" w:cs="Times New Roman"/>
          <w:sz w:val="22"/>
          <w:lang w:bidi="fa-IR"/>
        </w:rPr>
        <w:t xml:space="preserve"> </w:t>
      </w:r>
      <w:r w:rsidR="000A6952" w:rsidRPr="007E5185">
        <w:rPr>
          <w:rFonts w:eastAsia="Calibri" w:cs="Times New Roman"/>
          <w:sz w:val="22"/>
          <w:lang w:bidi="fa-IR"/>
        </w:rPr>
        <w:t xml:space="preserve">and </w:t>
      </w:r>
      <w:r w:rsidR="00567A21">
        <w:rPr>
          <w:rFonts w:eastAsia="Calibri" w:cs="Times New Roman"/>
          <w:sz w:val="22"/>
          <w:lang w:bidi="fa-IR"/>
        </w:rPr>
        <w:t>at</w:t>
      </w:r>
      <w:r w:rsidR="00566555" w:rsidRPr="007E5185">
        <w:rPr>
          <w:rFonts w:eastAsia="Calibri" w:cs="Times New Roman"/>
          <w:sz w:val="22"/>
          <w:lang w:bidi="fa-IR"/>
        </w:rPr>
        <w:t xml:space="preserve"> the </w:t>
      </w:r>
      <w:r w:rsidR="00B26E4F" w:rsidRPr="007E5185">
        <w:rPr>
          <w:rFonts w:eastAsia="Calibri" w:cs="Times New Roman"/>
          <w:sz w:val="22"/>
          <w:lang w:bidi="fa-IR"/>
        </w:rPr>
        <w:t>appropriate level of difficulty regarding the students' language abili</w:t>
      </w:r>
      <w:r w:rsidR="00B25E13" w:rsidRPr="007E5185">
        <w:rPr>
          <w:rFonts w:eastAsia="Calibri" w:cs="Times New Roman"/>
          <w:sz w:val="22"/>
          <w:lang w:bidi="fa-IR"/>
        </w:rPr>
        <w:t>ties</w:t>
      </w:r>
      <w:r w:rsidR="00B26E4F" w:rsidRPr="007E5185">
        <w:rPr>
          <w:rFonts w:eastAsia="Calibri" w:cs="Times New Roman"/>
          <w:sz w:val="22"/>
          <w:lang w:bidi="fa-IR"/>
        </w:rPr>
        <w:t>.</w:t>
      </w:r>
    </w:p>
    <w:p w14:paraId="2FD857CA" w14:textId="77777777" w:rsidR="00B26E4F" w:rsidRPr="007E5185" w:rsidRDefault="00E51A72" w:rsidP="00146C86">
      <w:pPr>
        <w:widowControl w:val="0"/>
        <w:autoSpaceDE w:val="0"/>
        <w:autoSpaceDN w:val="0"/>
        <w:adjustRightInd w:val="0"/>
        <w:spacing w:after="120" w:line="240" w:lineRule="auto"/>
        <w:ind w:left="115" w:right="72" w:firstLine="562"/>
        <w:jc w:val="both"/>
        <w:rPr>
          <w:rFonts w:eastAsia="Calibri" w:cs="Times New Roman"/>
          <w:color w:val="FF0000"/>
          <w:sz w:val="22"/>
          <w:lang w:bidi="fa-IR"/>
        </w:rPr>
      </w:pPr>
      <w:r w:rsidRPr="007E5185">
        <w:rPr>
          <w:rFonts w:eastAsia="Calibri" w:cs="Times New Roman"/>
          <w:sz w:val="22"/>
          <w:lang w:bidi="fa-IR"/>
        </w:rPr>
        <w:t>The s</w:t>
      </w:r>
      <w:r w:rsidR="000A6952" w:rsidRPr="007E5185">
        <w:rPr>
          <w:rFonts w:eastAsia="Calibri" w:cs="Times New Roman"/>
          <w:sz w:val="22"/>
          <w:lang w:bidi="fa-IR"/>
        </w:rPr>
        <w:t>tudents</w:t>
      </w:r>
      <w:r w:rsidR="000C2FF9" w:rsidRPr="007E5185">
        <w:rPr>
          <w:rFonts w:eastAsia="Calibri" w:cs="Times New Roman"/>
          <w:sz w:val="22"/>
          <w:lang w:bidi="fa-IR"/>
        </w:rPr>
        <w:t xml:space="preserve"> </w:t>
      </w:r>
      <w:r w:rsidR="00B25E13" w:rsidRPr="007E5185">
        <w:rPr>
          <w:rFonts w:eastAsia="Calibri" w:cs="Times New Roman"/>
          <w:sz w:val="22"/>
          <w:lang w:bidi="fa-IR"/>
        </w:rPr>
        <w:t>were</w:t>
      </w:r>
      <w:r w:rsidR="00B26E4F" w:rsidRPr="007E5185">
        <w:rPr>
          <w:rFonts w:eastAsia="Calibri" w:cs="Times New Roman"/>
          <w:sz w:val="22"/>
          <w:lang w:bidi="fa-IR"/>
        </w:rPr>
        <w:t xml:space="preserve"> allowed to choose their own starting point</w:t>
      </w:r>
      <w:r w:rsidRPr="007E5185">
        <w:rPr>
          <w:rFonts w:eastAsia="Calibri" w:cs="Times New Roman"/>
          <w:sz w:val="22"/>
          <w:lang w:bidi="fa-IR"/>
        </w:rPr>
        <w:t>s</w:t>
      </w:r>
      <w:r w:rsidR="00B26E4F" w:rsidRPr="007E5185">
        <w:rPr>
          <w:rFonts w:eastAsia="Calibri" w:cs="Times New Roman"/>
          <w:sz w:val="22"/>
          <w:lang w:bidi="fa-IR"/>
        </w:rPr>
        <w:t xml:space="preserve"> </w:t>
      </w:r>
      <w:r w:rsidR="00566555" w:rsidRPr="007E5185">
        <w:rPr>
          <w:rFonts w:eastAsia="Calibri" w:cs="Times New Roman"/>
          <w:sz w:val="22"/>
          <w:lang w:bidi="fa-IR"/>
        </w:rPr>
        <w:t>for</w:t>
      </w:r>
      <w:r w:rsidR="00B26E4F" w:rsidRPr="007E5185">
        <w:rPr>
          <w:rFonts w:eastAsia="Calibri" w:cs="Times New Roman"/>
          <w:sz w:val="22"/>
          <w:lang w:bidi="fa-IR"/>
        </w:rPr>
        <w:t xml:space="preserve"> diffe</w:t>
      </w:r>
      <w:r w:rsidR="007D439C" w:rsidRPr="007E5185">
        <w:rPr>
          <w:rFonts w:eastAsia="Calibri" w:cs="Times New Roman"/>
          <w:sz w:val="22"/>
          <w:lang w:bidi="fa-IR"/>
        </w:rPr>
        <w:t>r</w:t>
      </w:r>
      <w:r w:rsidR="0055707E" w:rsidRPr="007E5185">
        <w:rPr>
          <w:rFonts w:eastAsia="Calibri" w:cs="Times New Roman"/>
          <w:sz w:val="22"/>
          <w:lang w:bidi="fa-IR"/>
        </w:rPr>
        <w:t xml:space="preserve">ent assignments and activities. They were </w:t>
      </w:r>
      <w:r w:rsidR="000A6952" w:rsidRPr="007E5185">
        <w:rPr>
          <w:rFonts w:eastAsia="Calibri" w:cs="Times New Roman"/>
          <w:sz w:val="22"/>
          <w:lang w:bidi="fa-IR"/>
        </w:rPr>
        <w:t>provided opportunities for frequent self-checks</w:t>
      </w:r>
      <w:r w:rsidR="007D439C" w:rsidRPr="007E5185">
        <w:rPr>
          <w:rFonts w:eastAsia="Calibri" w:cs="Times New Roman"/>
          <w:sz w:val="22"/>
          <w:lang w:bidi="fa-IR"/>
        </w:rPr>
        <w:t>,</w:t>
      </w:r>
      <w:r w:rsidR="00D7231E" w:rsidRPr="007E5185">
        <w:rPr>
          <w:rFonts w:eastAsia="Calibri" w:cs="Times New Roman"/>
          <w:sz w:val="22"/>
          <w:lang w:bidi="fa-IR"/>
        </w:rPr>
        <w:t xml:space="preserve"> and </w:t>
      </w:r>
      <w:r w:rsidR="00567A21">
        <w:rPr>
          <w:rFonts w:eastAsia="Calibri" w:cs="Times New Roman"/>
          <w:sz w:val="22"/>
          <w:lang w:bidi="fa-IR"/>
        </w:rPr>
        <w:t>given</w:t>
      </w:r>
      <w:r w:rsidR="00D7231E" w:rsidRPr="007E5185">
        <w:rPr>
          <w:rFonts w:eastAsia="Calibri" w:cs="Times New Roman"/>
          <w:sz w:val="22"/>
          <w:lang w:bidi="fa-IR"/>
        </w:rPr>
        <w:t xml:space="preserve"> peer-feedback d</w:t>
      </w:r>
      <w:r w:rsidR="000A6952" w:rsidRPr="007E5185">
        <w:rPr>
          <w:rFonts w:eastAsia="Calibri" w:cs="Times New Roman"/>
          <w:sz w:val="22"/>
          <w:lang w:bidi="fa-IR"/>
        </w:rPr>
        <w:t>uring the learning and teaching process</w:t>
      </w:r>
      <w:r w:rsidR="00D7231E" w:rsidRPr="007E5185">
        <w:rPr>
          <w:rFonts w:eastAsia="Calibri" w:cs="Times New Roman"/>
          <w:sz w:val="22"/>
          <w:lang w:bidi="fa-IR"/>
        </w:rPr>
        <w:t xml:space="preserve">. </w:t>
      </w:r>
      <w:r w:rsidR="000A6952" w:rsidRPr="007E5185">
        <w:rPr>
          <w:rFonts w:eastAsia="Calibri" w:cs="Times New Roman"/>
          <w:sz w:val="22"/>
          <w:lang w:bidi="fa-IR"/>
        </w:rPr>
        <w:t xml:space="preserve">Feedback was </w:t>
      </w:r>
      <w:r w:rsidR="007D439C" w:rsidRPr="007E5185">
        <w:rPr>
          <w:rFonts w:eastAsia="Calibri" w:cs="Times New Roman"/>
          <w:sz w:val="22"/>
          <w:lang w:bidi="fa-IR"/>
        </w:rPr>
        <w:t xml:space="preserve">also </w:t>
      </w:r>
      <w:r w:rsidR="000A6952" w:rsidRPr="007E5185">
        <w:rPr>
          <w:rFonts w:eastAsia="Calibri" w:cs="Times New Roman"/>
          <w:sz w:val="22"/>
          <w:lang w:bidi="fa-IR"/>
        </w:rPr>
        <w:t xml:space="preserve">provided by the teacher to support </w:t>
      </w:r>
      <w:r w:rsidR="005553E3" w:rsidRPr="007E5185">
        <w:rPr>
          <w:rFonts w:eastAsia="Calibri" w:cs="Times New Roman"/>
          <w:sz w:val="22"/>
          <w:lang w:bidi="fa-IR"/>
        </w:rPr>
        <w:t>and</w:t>
      </w:r>
      <w:r w:rsidR="000A6952" w:rsidRPr="007E5185">
        <w:rPr>
          <w:rFonts w:eastAsia="Calibri" w:cs="Times New Roman"/>
          <w:sz w:val="22"/>
          <w:lang w:bidi="fa-IR"/>
        </w:rPr>
        <w:t xml:space="preserve"> lead the learners on their own learning. The final evaluation mainly assessed the impact of implementing </w:t>
      </w:r>
      <w:r w:rsidR="00567A21">
        <w:rPr>
          <w:rFonts w:eastAsia="Calibri" w:cs="Times New Roman"/>
          <w:sz w:val="22"/>
          <w:lang w:bidi="fa-IR"/>
        </w:rPr>
        <w:t>the P</w:t>
      </w:r>
      <w:r w:rsidR="00566555" w:rsidRPr="007E5185">
        <w:rPr>
          <w:rFonts w:eastAsia="Calibri" w:cs="Times New Roman"/>
          <w:sz w:val="22"/>
          <w:lang w:bidi="fa-IR"/>
        </w:rPr>
        <w:t>A</w:t>
      </w:r>
      <w:r w:rsidR="00567A21">
        <w:rPr>
          <w:rFonts w:eastAsia="Calibri" w:cs="Times New Roman"/>
          <w:sz w:val="22"/>
          <w:lang w:bidi="fa-IR"/>
        </w:rPr>
        <w:t xml:space="preserve"> </w:t>
      </w:r>
      <w:r w:rsidR="000A6952" w:rsidRPr="007E5185">
        <w:rPr>
          <w:rFonts w:eastAsia="Calibri" w:cs="Times New Roman"/>
          <w:sz w:val="22"/>
          <w:lang w:bidi="fa-IR"/>
        </w:rPr>
        <w:t>and learners’ progress in the intended skill.</w:t>
      </w:r>
    </w:p>
    <w:p w14:paraId="19ACB0DC" w14:textId="77777777" w:rsidR="00A456EB" w:rsidRPr="00E93D2F" w:rsidRDefault="00E93D2F" w:rsidP="00E93D2F">
      <w:pPr>
        <w:autoSpaceDE w:val="0"/>
        <w:autoSpaceDN w:val="0"/>
        <w:adjustRightInd w:val="0"/>
        <w:spacing w:after="120" w:line="240" w:lineRule="auto"/>
        <w:jc w:val="both"/>
        <w:rPr>
          <w:rFonts w:asciiTheme="majorBidi" w:hAnsiTheme="majorBidi" w:cstheme="majorBidi"/>
          <w:i/>
          <w:iCs/>
          <w:sz w:val="22"/>
        </w:rPr>
      </w:pPr>
      <w:r>
        <w:rPr>
          <w:rFonts w:asciiTheme="majorBidi" w:hAnsiTheme="majorBidi" w:cstheme="majorBidi"/>
          <w:i/>
          <w:iCs/>
          <w:sz w:val="22"/>
        </w:rPr>
        <w:t>3.5</w:t>
      </w:r>
      <w:r w:rsidR="00A456EB" w:rsidRPr="007E5185">
        <w:rPr>
          <w:rFonts w:asciiTheme="majorBidi" w:hAnsiTheme="majorBidi" w:cstheme="majorBidi"/>
          <w:i/>
          <w:iCs/>
          <w:sz w:val="22"/>
        </w:rPr>
        <w:t>. Data Analysis Procedure</w:t>
      </w:r>
    </w:p>
    <w:p w14:paraId="11099E8C" w14:textId="77777777" w:rsidR="00D95647" w:rsidRPr="0064762B" w:rsidRDefault="0064762B" w:rsidP="00E4270D">
      <w:pPr>
        <w:widowControl w:val="0"/>
        <w:autoSpaceDE w:val="0"/>
        <w:autoSpaceDN w:val="0"/>
        <w:adjustRightInd w:val="0"/>
        <w:spacing w:after="120" w:line="240" w:lineRule="auto"/>
        <w:ind w:left="115" w:right="72"/>
        <w:jc w:val="both"/>
        <w:rPr>
          <w:rFonts w:asciiTheme="majorBidi" w:eastAsia="Calibri" w:hAnsiTheme="majorBidi" w:cstheme="majorBidi"/>
          <w:sz w:val="22"/>
          <w:lang w:bidi="fa-IR"/>
        </w:rPr>
      </w:pPr>
      <w:r>
        <w:rPr>
          <w:rFonts w:asciiTheme="majorBidi" w:eastAsia="Calibri" w:hAnsiTheme="majorBidi" w:cstheme="majorBidi"/>
          <w:sz w:val="22"/>
          <w:lang w:bidi="fa-IR"/>
        </w:rPr>
        <w:t>Both</w:t>
      </w:r>
      <w:r w:rsidR="00B6097A" w:rsidRPr="007E5185">
        <w:rPr>
          <w:rFonts w:asciiTheme="majorBidi" w:eastAsia="Calibri" w:hAnsiTheme="majorBidi" w:cstheme="majorBidi"/>
          <w:sz w:val="22"/>
          <w:lang w:bidi="fa-IR"/>
        </w:rPr>
        <w:t xml:space="preserve"> descriptive and inferential statistics were utilized.</w:t>
      </w:r>
      <w:r w:rsidR="00D95647" w:rsidRPr="007E5185">
        <w:rPr>
          <w:rFonts w:asciiTheme="majorBidi" w:eastAsia="Calibri" w:hAnsiTheme="majorBidi" w:cstheme="majorBidi"/>
          <w:sz w:val="22"/>
          <w:lang w:bidi="fa-IR"/>
        </w:rPr>
        <w:t xml:space="preserve"> The rationale behind collecting this kind of data </w:t>
      </w:r>
      <w:r w:rsidR="00DA38D7" w:rsidRPr="007E5185">
        <w:rPr>
          <w:rFonts w:asciiTheme="majorBidi" w:eastAsia="Calibri" w:hAnsiTheme="majorBidi" w:cstheme="majorBidi"/>
          <w:sz w:val="22"/>
          <w:lang w:bidi="fa-IR"/>
        </w:rPr>
        <w:t>was</w:t>
      </w:r>
      <w:r w:rsidR="00D95647" w:rsidRPr="007E5185">
        <w:rPr>
          <w:rFonts w:asciiTheme="majorBidi" w:eastAsia="Calibri" w:hAnsiTheme="majorBidi" w:cstheme="majorBidi"/>
          <w:sz w:val="22"/>
          <w:lang w:bidi="fa-IR"/>
        </w:rPr>
        <w:t xml:space="preserve"> to see the extent to which the differences between certain groups of </w:t>
      </w:r>
      <w:r w:rsidR="004B4324" w:rsidRPr="007E5185">
        <w:rPr>
          <w:rFonts w:asciiTheme="majorBidi" w:eastAsia="Calibri" w:hAnsiTheme="majorBidi" w:cstheme="majorBidi"/>
          <w:sz w:val="22"/>
          <w:lang w:bidi="fa-IR"/>
        </w:rPr>
        <w:t>stude</w:t>
      </w:r>
      <w:r w:rsidR="00D95647" w:rsidRPr="007E5185">
        <w:rPr>
          <w:rFonts w:asciiTheme="majorBidi" w:eastAsia="Calibri" w:hAnsiTheme="majorBidi" w:cstheme="majorBidi"/>
          <w:sz w:val="22"/>
          <w:lang w:bidi="fa-IR"/>
        </w:rPr>
        <w:t>nts were significant</w:t>
      </w:r>
      <w:r w:rsidR="00567A21">
        <w:rPr>
          <w:rFonts w:asciiTheme="majorBidi" w:eastAsia="Calibri" w:hAnsiTheme="majorBidi" w:cstheme="majorBidi"/>
          <w:sz w:val="22"/>
          <w:lang w:bidi="fa-IR"/>
        </w:rPr>
        <w:t xml:space="preserve">. </w:t>
      </w:r>
      <w:r w:rsidR="00D95647" w:rsidRPr="007E5185">
        <w:rPr>
          <w:rFonts w:asciiTheme="majorBidi" w:eastAsia="Calibri" w:hAnsiTheme="majorBidi" w:cstheme="majorBidi"/>
          <w:sz w:val="22"/>
          <w:lang w:bidi="fa-IR"/>
        </w:rPr>
        <w:t xml:space="preserve">In addition, </w:t>
      </w:r>
      <w:r w:rsidR="00EB2132" w:rsidRPr="007E5185">
        <w:rPr>
          <w:rFonts w:asciiTheme="majorBidi" w:eastAsia="Calibri" w:hAnsiTheme="majorBidi" w:cstheme="majorBidi"/>
          <w:sz w:val="22"/>
          <w:lang w:bidi="fa-IR"/>
        </w:rPr>
        <w:t>it was</w:t>
      </w:r>
      <w:r w:rsidR="00D95647" w:rsidRPr="007E5185">
        <w:rPr>
          <w:rFonts w:asciiTheme="majorBidi" w:eastAsia="Calibri" w:hAnsiTheme="majorBidi" w:cstheme="majorBidi"/>
          <w:sz w:val="22"/>
          <w:lang w:bidi="fa-IR"/>
        </w:rPr>
        <w:t xml:space="preserve"> intended to </w:t>
      </w:r>
      <w:r w:rsidR="00D95647" w:rsidRPr="0064762B">
        <w:rPr>
          <w:rFonts w:asciiTheme="majorBidi" w:eastAsia="Calibri" w:hAnsiTheme="majorBidi" w:cstheme="majorBidi"/>
          <w:sz w:val="22"/>
          <w:lang w:bidi="fa-IR"/>
        </w:rPr>
        <w:t xml:space="preserve">ensure that such possible differences were due to real factors and not to chance. Descriptive statistics were performed to compute the means and standard deviations and </w:t>
      </w:r>
      <w:r>
        <w:rPr>
          <w:rFonts w:asciiTheme="majorBidi" w:eastAsia="Calibri" w:hAnsiTheme="majorBidi" w:cstheme="majorBidi"/>
          <w:sz w:val="22"/>
          <w:lang w:bidi="fa-IR"/>
        </w:rPr>
        <w:t>make sure about</w:t>
      </w:r>
      <w:r w:rsidR="00D95647" w:rsidRPr="0064762B">
        <w:rPr>
          <w:rFonts w:asciiTheme="majorBidi" w:eastAsia="Calibri" w:hAnsiTheme="majorBidi" w:cstheme="majorBidi"/>
          <w:sz w:val="22"/>
          <w:lang w:bidi="fa-IR"/>
        </w:rPr>
        <w:t xml:space="preserve"> the normality of the distribution. In order to examine the extent to which </w:t>
      </w:r>
      <w:r w:rsidR="007F6FD5" w:rsidRPr="0064762B">
        <w:rPr>
          <w:rFonts w:asciiTheme="majorBidi" w:eastAsia="Calibri" w:hAnsiTheme="majorBidi" w:cstheme="majorBidi"/>
          <w:sz w:val="22"/>
          <w:lang w:bidi="fa-IR"/>
        </w:rPr>
        <w:t xml:space="preserve">the </w:t>
      </w:r>
      <w:r w:rsidR="00D95647" w:rsidRPr="0064762B">
        <w:rPr>
          <w:rFonts w:asciiTheme="majorBidi" w:eastAsia="Calibri" w:hAnsiTheme="majorBidi" w:cstheme="majorBidi"/>
          <w:sz w:val="22"/>
          <w:lang w:bidi="fa-IR"/>
        </w:rPr>
        <w:t xml:space="preserve">students’ speaking abilities were improved after the application of </w:t>
      </w:r>
      <w:r w:rsidRPr="0064762B">
        <w:rPr>
          <w:rFonts w:asciiTheme="majorBidi" w:eastAsia="Calibri" w:hAnsiTheme="majorBidi" w:cstheme="majorBidi"/>
          <w:sz w:val="22"/>
          <w:lang w:bidi="fa-IR"/>
        </w:rPr>
        <w:t xml:space="preserve">the </w:t>
      </w:r>
      <w:r w:rsidR="00D95647" w:rsidRPr="0064762B">
        <w:rPr>
          <w:rFonts w:asciiTheme="majorBidi" w:eastAsia="Calibri" w:hAnsiTheme="majorBidi" w:cstheme="majorBidi"/>
          <w:sz w:val="22"/>
          <w:lang w:bidi="fa-IR"/>
        </w:rPr>
        <w:t>treatment in three experime</w:t>
      </w:r>
      <w:r w:rsidR="00746833" w:rsidRPr="0064762B">
        <w:rPr>
          <w:rFonts w:asciiTheme="majorBidi" w:eastAsia="Calibri" w:hAnsiTheme="majorBidi" w:cstheme="majorBidi"/>
          <w:sz w:val="22"/>
          <w:lang w:bidi="fa-IR"/>
        </w:rPr>
        <w:t xml:space="preserve">ntal groups, paired </w:t>
      </w:r>
      <w:r w:rsidR="001234C5" w:rsidRPr="0064762B">
        <w:rPr>
          <w:rFonts w:asciiTheme="majorBidi" w:eastAsia="Calibri" w:hAnsiTheme="majorBidi" w:cstheme="majorBidi"/>
          <w:sz w:val="22"/>
          <w:lang w:bidi="fa-IR"/>
        </w:rPr>
        <w:t xml:space="preserve">sample </w:t>
      </w:r>
      <w:r w:rsidR="001234C5" w:rsidRPr="0064762B">
        <w:rPr>
          <w:rFonts w:asciiTheme="majorBidi" w:eastAsia="Calibri" w:hAnsiTheme="majorBidi" w:cstheme="majorBidi"/>
          <w:i/>
          <w:iCs/>
          <w:sz w:val="22"/>
          <w:lang w:bidi="fa-IR"/>
        </w:rPr>
        <w:t>t</w:t>
      </w:r>
      <w:r w:rsidR="001234C5" w:rsidRPr="0064762B">
        <w:rPr>
          <w:rFonts w:asciiTheme="majorBidi" w:eastAsia="Calibri" w:hAnsiTheme="majorBidi" w:cstheme="majorBidi"/>
          <w:sz w:val="22"/>
          <w:lang w:bidi="fa-IR"/>
        </w:rPr>
        <w:t xml:space="preserve"> </w:t>
      </w:r>
      <w:r w:rsidR="00D95647" w:rsidRPr="0064762B">
        <w:rPr>
          <w:rFonts w:asciiTheme="majorBidi" w:eastAsia="Calibri" w:hAnsiTheme="majorBidi" w:cstheme="majorBidi"/>
          <w:sz w:val="22"/>
          <w:lang w:bidi="fa-IR"/>
        </w:rPr>
        <w:t xml:space="preserve">test </w:t>
      </w:r>
      <w:r w:rsidR="00746833" w:rsidRPr="0064762B">
        <w:rPr>
          <w:rFonts w:asciiTheme="majorBidi" w:eastAsia="Calibri" w:hAnsiTheme="majorBidi" w:cstheme="majorBidi"/>
          <w:sz w:val="22"/>
          <w:lang w:bidi="fa-IR"/>
        </w:rPr>
        <w:t>was</w:t>
      </w:r>
      <w:r w:rsidR="00D95647" w:rsidRPr="0064762B">
        <w:rPr>
          <w:rFonts w:asciiTheme="majorBidi" w:eastAsia="Calibri" w:hAnsiTheme="majorBidi" w:cstheme="majorBidi"/>
          <w:sz w:val="22"/>
          <w:lang w:bidi="fa-IR"/>
        </w:rPr>
        <w:t xml:space="preserve"> used to compare the scores earned on the posttest with the scores obtained on the pretest by the </w:t>
      </w:r>
      <w:r w:rsidR="004B4324" w:rsidRPr="0064762B">
        <w:rPr>
          <w:rFonts w:asciiTheme="majorBidi" w:eastAsia="Calibri" w:hAnsiTheme="majorBidi" w:cstheme="majorBidi"/>
          <w:sz w:val="22"/>
          <w:lang w:bidi="fa-IR"/>
        </w:rPr>
        <w:t>stude</w:t>
      </w:r>
      <w:r w:rsidR="00D95647" w:rsidRPr="0064762B">
        <w:rPr>
          <w:rFonts w:asciiTheme="majorBidi" w:eastAsia="Calibri" w:hAnsiTheme="majorBidi" w:cstheme="majorBidi"/>
          <w:sz w:val="22"/>
          <w:lang w:bidi="fa-IR"/>
        </w:rPr>
        <w:t xml:space="preserve">nts in each group. This </w:t>
      </w:r>
      <w:r w:rsidR="00E154B0" w:rsidRPr="0064762B">
        <w:rPr>
          <w:rFonts w:asciiTheme="majorBidi" w:eastAsia="Calibri" w:hAnsiTheme="majorBidi" w:cstheme="majorBidi"/>
          <w:sz w:val="22"/>
          <w:lang w:bidi="fa-IR"/>
        </w:rPr>
        <w:t>was also</w:t>
      </w:r>
      <w:r w:rsidR="00D95647" w:rsidRPr="0064762B">
        <w:rPr>
          <w:rFonts w:asciiTheme="majorBidi" w:eastAsia="Calibri" w:hAnsiTheme="majorBidi" w:cstheme="majorBidi"/>
          <w:sz w:val="22"/>
          <w:lang w:bidi="fa-IR"/>
        </w:rPr>
        <w:t xml:space="preserve"> done for the contr</w:t>
      </w:r>
      <w:r w:rsidR="008233C1" w:rsidRPr="0064762B">
        <w:rPr>
          <w:rFonts w:asciiTheme="majorBidi" w:eastAsia="Calibri" w:hAnsiTheme="majorBidi" w:cstheme="majorBidi"/>
          <w:sz w:val="22"/>
          <w:lang w:bidi="fa-IR"/>
        </w:rPr>
        <w:t xml:space="preserve">ol groups for later </w:t>
      </w:r>
      <w:r w:rsidR="008233C1" w:rsidRPr="0064762B">
        <w:rPr>
          <w:rFonts w:asciiTheme="majorBidi" w:eastAsia="Calibri" w:hAnsiTheme="majorBidi" w:cstheme="majorBidi"/>
          <w:sz w:val="22"/>
          <w:lang w:bidi="fa-IR"/>
        </w:rPr>
        <w:lastRenderedPageBreak/>
        <w:t>comparison.</w:t>
      </w:r>
    </w:p>
    <w:p w14:paraId="3914244C" w14:textId="6501BA43" w:rsidR="00D95647" w:rsidRDefault="001234C5" w:rsidP="00146C86">
      <w:pPr>
        <w:widowControl w:val="0"/>
        <w:autoSpaceDE w:val="0"/>
        <w:autoSpaceDN w:val="0"/>
        <w:adjustRightInd w:val="0"/>
        <w:spacing w:after="120" w:line="240" w:lineRule="auto"/>
        <w:ind w:left="115" w:right="72" w:firstLine="562"/>
        <w:jc w:val="both"/>
        <w:rPr>
          <w:rFonts w:asciiTheme="majorBidi" w:eastAsia="Calibri" w:hAnsiTheme="majorBidi" w:cstheme="majorBidi"/>
          <w:sz w:val="22"/>
          <w:lang w:bidi="fa-IR"/>
        </w:rPr>
      </w:pPr>
      <w:r w:rsidRPr="007C52C9">
        <w:rPr>
          <w:rFonts w:asciiTheme="majorBidi" w:eastAsia="Calibri" w:hAnsiTheme="majorBidi" w:cstheme="majorBidi"/>
          <w:sz w:val="22"/>
          <w:lang w:bidi="fa-IR"/>
        </w:rPr>
        <w:t>To answer the second question, a</w:t>
      </w:r>
      <w:r w:rsidR="00D95647" w:rsidRPr="007C52C9">
        <w:rPr>
          <w:rFonts w:asciiTheme="majorBidi" w:eastAsia="Calibri" w:hAnsiTheme="majorBidi" w:cstheme="majorBidi"/>
          <w:sz w:val="22"/>
          <w:lang w:bidi="fa-IR"/>
        </w:rPr>
        <w:t xml:space="preserve">nalysis of </w:t>
      </w:r>
      <w:r w:rsidR="002A08E4">
        <w:rPr>
          <w:rFonts w:asciiTheme="majorBidi" w:eastAsia="Calibri" w:hAnsiTheme="majorBidi" w:cstheme="majorBidi"/>
          <w:sz w:val="22"/>
          <w:lang w:bidi="fa-IR"/>
        </w:rPr>
        <w:t>co</w:t>
      </w:r>
      <w:r w:rsidRPr="007C52C9">
        <w:rPr>
          <w:rFonts w:asciiTheme="majorBidi" w:eastAsia="Calibri" w:hAnsiTheme="majorBidi" w:cstheme="majorBidi"/>
          <w:sz w:val="22"/>
          <w:lang w:bidi="fa-IR"/>
        </w:rPr>
        <w:t>v</w:t>
      </w:r>
      <w:r w:rsidR="00D95647" w:rsidRPr="007C52C9">
        <w:rPr>
          <w:rFonts w:asciiTheme="majorBidi" w:eastAsia="Calibri" w:hAnsiTheme="majorBidi" w:cstheme="majorBidi"/>
          <w:sz w:val="22"/>
          <w:lang w:bidi="fa-IR"/>
        </w:rPr>
        <w:t>ariance (AN</w:t>
      </w:r>
      <w:r w:rsidR="002A08E4">
        <w:rPr>
          <w:rFonts w:asciiTheme="majorBidi" w:eastAsia="Calibri" w:hAnsiTheme="majorBidi" w:cstheme="majorBidi"/>
          <w:sz w:val="22"/>
          <w:lang w:bidi="fa-IR"/>
        </w:rPr>
        <w:t>C</w:t>
      </w:r>
      <w:r w:rsidR="00D95647" w:rsidRPr="007C52C9">
        <w:rPr>
          <w:rFonts w:asciiTheme="majorBidi" w:eastAsia="Calibri" w:hAnsiTheme="majorBidi" w:cstheme="majorBidi"/>
          <w:sz w:val="22"/>
          <w:lang w:bidi="fa-IR"/>
        </w:rPr>
        <w:t xml:space="preserve">OVA) </w:t>
      </w:r>
      <w:r w:rsidR="00E154B0" w:rsidRPr="007C52C9">
        <w:rPr>
          <w:rFonts w:asciiTheme="majorBidi" w:eastAsia="Calibri" w:hAnsiTheme="majorBidi" w:cstheme="majorBidi"/>
          <w:sz w:val="22"/>
          <w:lang w:bidi="fa-IR"/>
        </w:rPr>
        <w:t xml:space="preserve">was </w:t>
      </w:r>
      <w:r w:rsidR="00D95647" w:rsidRPr="007C52C9">
        <w:rPr>
          <w:rFonts w:asciiTheme="majorBidi" w:eastAsia="Calibri" w:hAnsiTheme="majorBidi" w:cstheme="majorBidi"/>
          <w:sz w:val="22"/>
          <w:lang w:bidi="fa-IR"/>
        </w:rPr>
        <w:t>employed. The performances of</w:t>
      </w:r>
      <w:r w:rsidR="005004D8">
        <w:rPr>
          <w:rFonts w:asciiTheme="majorBidi" w:eastAsia="Calibri" w:hAnsiTheme="majorBidi" w:cstheme="majorBidi"/>
          <w:sz w:val="22"/>
          <w:lang w:bidi="fa-IR"/>
        </w:rPr>
        <w:t xml:space="preserve"> </w:t>
      </w:r>
      <w:r w:rsidR="00D95647" w:rsidRPr="007C52C9">
        <w:rPr>
          <w:rFonts w:asciiTheme="majorBidi" w:eastAsia="Calibri" w:hAnsiTheme="majorBidi" w:cstheme="majorBidi"/>
          <w:sz w:val="22"/>
          <w:lang w:bidi="fa-IR"/>
        </w:rPr>
        <w:t>the three experimental groups (low</w:t>
      </w:r>
      <w:r w:rsidR="00B72219" w:rsidRPr="007C52C9">
        <w:rPr>
          <w:rFonts w:asciiTheme="majorBidi" w:eastAsia="Calibri" w:hAnsiTheme="majorBidi" w:cstheme="majorBidi"/>
          <w:sz w:val="22"/>
          <w:lang w:bidi="fa-IR"/>
        </w:rPr>
        <w:t>, high, and mixed language-</w:t>
      </w:r>
      <w:r w:rsidR="00D95647" w:rsidRPr="007C52C9">
        <w:rPr>
          <w:rFonts w:asciiTheme="majorBidi" w:eastAsia="Calibri" w:hAnsiTheme="majorBidi" w:cstheme="majorBidi"/>
          <w:sz w:val="22"/>
          <w:lang w:bidi="fa-IR"/>
        </w:rPr>
        <w:t>ability group</w:t>
      </w:r>
      <w:r w:rsidR="00B72219" w:rsidRPr="007C52C9">
        <w:rPr>
          <w:rFonts w:asciiTheme="majorBidi" w:eastAsia="Calibri" w:hAnsiTheme="majorBidi" w:cstheme="majorBidi"/>
          <w:sz w:val="22"/>
          <w:lang w:bidi="fa-IR"/>
        </w:rPr>
        <w:t>s</w:t>
      </w:r>
      <w:r w:rsidR="00E154B0" w:rsidRPr="007C52C9">
        <w:rPr>
          <w:rFonts w:asciiTheme="majorBidi" w:eastAsia="Calibri" w:hAnsiTheme="majorBidi" w:cstheme="majorBidi"/>
          <w:sz w:val="22"/>
          <w:lang w:bidi="fa-IR"/>
        </w:rPr>
        <w:t>) we</w:t>
      </w:r>
      <w:r w:rsidR="00D95647" w:rsidRPr="007C52C9">
        <w:rPr>
          <w:rFonts w:asciiTheme="majorBidi" w:eastAsia="Calibri" w:hAnsiTheme="majorBidi" w:cstheme="majorBidi"/>
          <w:sz w:val="22"/>
          <w:lang w:bidi="fa-IR"/>
        </w:rPr>
        <w:t xml:space="preserve">re compared to examine whether implementing </w:t>
      </w:r>
      <w:r w:rsidR="00B72219" w:rsidRPr="007C52C9">
        <w:rPr>
          <w:rFonts w:asciiTheme="majorBidi" w:eastAsia="Calibri" w:hAnsiTheme="majorBidi" w:cstheme="majorBidi"/>
          <w:sz w:val="22"/>
          <w:lang w:bidi="fa-IR"/>
        </w:rPr>
        <w:t xml:space="preserve">the </w:t>
      </w:r>
      <w:r w:rsidRPr="007C52C9">
        <w:rPr>
          <w:rFonts w:asciiTheme="majorBidi" w:eastAsia="Calibri" w:hAnsiTheme="majorBidi" w:cstheme="majorBidi"/>
          <w:sz w:val="22"/>
          <w:lang w:bidi="fa-IR"/>
        </w:rPr>
        <w:t>PA</w:t>
      </w:r>
      <w:r w:rsidR="00D95647" w:rsidRPr="007C52C9">
        <w:rPr>
          <w:rFonts w:asciiTheme="majorBidi" w:eastAsia="Calibri" w:hAnsiTheme="majorBidi" w:cstheme="majorBidi"/>
          <w:sz w:val="22"/>
          <w:lang w:bidi="fa-IR"/>
        </w:rPr>
        <w:t xml:space="preserve"> </w:t>
      </w:r>
      <w:r w:rsidR="00E154B0" w:rsidRPr="007C52C9">
        <w:rPr>
          <w:rFonts w:asciiTheme="majorBidi" w:eastAsia="Calibri" w:hAnsiTheme="majorBidi" w:cstheme="majorBidi"/>
          <w:sz w:val="22"/>
          <w:lang w:bidi="fa-IR"/>
        </w:rPr>
        <w:t>had</w:t>
      </w:r>
      <w:r w:rsidR="00D95647" w:rsidRPr="007C52C9">
        <w:rPr>
          <w:rFonts w:asciiTheme="majorBidi" w:eastAsia="Calibri" w:hAnsiTheme="majorBidi" w:cstheme="majorBidi"/>
          <w:sz w:val="22"/>
          <w:lang w:bidi="fa-IR"/>
        </w:rPr>
        <w:t xml:space="preserve"> equal impact on improving </w:t>
      </w:r>
      <w:r w:rsidR="00746833" w:rsidRPr="007C52C9">
        <w:rPr>
          <w:rFonts w:asciiTheme="majorBidi" w:eastAsia="Calibri" w:hAnsiTheme="majorBidi" w:cstheme="majorBidi"/>
          <w:sz w:val="22"/>
          <w:lang w:bidi="fa-IR"/>
        </w:rPr>
        <w:t xml:space="preserve">the </w:t>
      </w:r>
      <w:r w:rsidR="00D95647" w:rsidRPr="007C52C9">
        <w:rPr>
          <w:rFonts w:asciiTheme="majorBidi" w:eastAsia="Calibri" w:hAnsiTheme="majorBidi" w:cstheme="majorBidi"/>
          <w:sz w:val="22"/>
          <w:lang w:bidi="fa-IR"/>
        </w:rPr>
        <w:t xml:space="preserve">speaking ability of students at different levels of </w:t>
      </w:r>
      <w:r w:rsidR="007F6FD5" w:rsidRPr="007C52C9">
        <w:rPr>
          <w:rFonts w:asciiTheme="majorBidi" w:eastAsia="Calibri" w:hAnsiTheme="majorBidi" w:cstheme="majorBidi"/>
          <w:sz w:val="22"/>
          <w:lang w:bidi="fa-IR"/>
        </w:rPr>
        <w:t>language ability</w:t>
      </w:r>
      <w:r w:rsidR="00E154B0" w:rsidRPr="007C52C9">
        <w:rPr>
          <w:rFonts w:asciiTheme="majorBidi" w:eastAsia="Calibri" w:hAnsiTheme="majorBidi" w:cstheme="majorBidi"/>
          <w:sz w:val="22"/>
          <w:lang w:bidi="fa-IR"/>
        </w:rPr>
        <w:t xml:space="preserve"> or not. The same was</w:t>
      </w:r>
      <w:r w:rsidR="00D95647" w:rsidRPr="007C52C9">
        <w:rPr>
          <w:rFonts w:asciiTheme="majorBidi" w:eastAsia="Calibri" w:hAnsiTheme="majorBidi" w:cstheme="majorBidi"/>
          <w:sz w:val="22"/>
          <w:lang w:bidi="fa-IR"/>
        </w:rPr>
        <w:t xml:space="preserve"> done for </w:t>
      </w:r>
      <w:r w:rsidR="00B72219" w:rsidRPr="007C52C9">
        <w:rPr>
          <w:rFonts w:asciiTheme="majorBidi" w:eastAsia="Calibri" w:hAnsiTheme="majorBidi" w:cstheme="majorBidi"/>
          <w:sz w:val="22"/>
          <w:lang w:bidi="fa-IR"/>
        </w:rPr>
        <w:t xml:space="preserve">the </w:t>
      </w:r>
      <w:r w:rsidR="00D95647" w:rsidRPr="007C52C9">
        <w:rPr>
          <w:rFonts w:asciiTheme="majorBidi" w:eastAsia="Calibri" w:hAnsiTheme="majorBidi" w:cstheme="majorBidi"/>
          <w:sz w:val="22"/>
          <w:lang w:bidi="fa-IR"/>
        </w:rPr>
        <w:t xml:space="preserve">control groups for later comparison. </w:t>
      </w:r>
      <w:r w:rsidR="002A08E4">
        <w:rPr>
          <w:rFonts w:asciiTheme="majorBidi" w:eastAsia="Calibri" w:hAnsiTheme="majorBidi" w:cstheme="majorBidi"/>
          <w:sz w:val="22"/>
          <w:lang w:bidi="fa-IR"/>
        </w:rPr>
        <w:t>ANCOVA</w:t>
      </w:r>
      <w:r w:rsidR="00E154B0" w:rsidRPr="007C52C9">
        <w:rPr>
          <w:rFonts w:asciiTheme="majorBidi" w:eastAsia="Calibri" w:hAnsiTheme="majorBidi" w:cstheme="majorBidi"/>
          <w:sz w:val="22"/>
          <w:lang w:bidi="fa-IR"/>
        </w:rPr>
        <w:t xml:space="preserve"> was also</w:t>
      </w:r>
      <w:r w:rsidR="00D95647" w:rsidRPr="007C52C9">
        <w:rPr>
          <w:rFonts w:asciiTheme="majorBidi" w:eastAsia="Calibri" w:hAnsiTheme="majorBidi" w:cstheme="majorBidi"/>
          <w:sz w:val="22"/>
          <w:lang w:bidi="fa-IR"/>
        </w:rPr>
        <w:t xml:space="preserve"> used to compare the performances of the three experimental groups with those of the three control groups for each pair of groups separately. </w:t>
      </w:r>
      <w:r w:rsidR="002A08E4">
        <w:rPr>
          <w:rFonts w:asciiTheme="majorBidi" w:eastAsia="Calibri" w:hAnsiTheme="majorBidi" w:cstheme="majorBidi"/>
          <w:sz w:val="22"/>
          <w:lang w:bidi="fa-IR"/>
        </w:rPr>
        <w:t>It</w:t>
      </w:r>
      <w:r w:rsidR="00D95647" w:rsidRPr="007C52C9">
        <w:rPr>
          <w:rFonts w:asciiTheme="majorBidi" w:eastAsia="Calibri" w:hAnsiTheme="majorBidi" w:cstheme="majorBidi"/>
          <w:sz w:val="22"/>
          <w:lang w:bidi="fa-IR"/>
        </w:rPr>
        <w:t xml:space="preserve"> </w:t>
      </w:r>
      <w:r w:rsidR="00E154B0" w:rsidRPr="007C52C9">
        <w:rPr>
          <w:rFonts w:asciiTheme="majorBidi" w:eastAsia="Calibri" w:hAnsiTheme="majorBidi" w:cstheme="majorBidi"/>
          <w:sz w:val="22"/>
          <w:lang w:bidi="fa-IR"/>
        </w:rPr>
        <w:t>was</w:t>
      </w:r>
      <w:r w:rsidR="00D95647" w:rsidRPr="007C52C9">
        <w:rPr>
          <w:rFonts w:asciiTheme="majorBidi" w:eastAsia="Calibri" w:hAnsiTheme="majorBidi" w:cstheme="majorBidi"/>
          <w:sz w:val="22"/>
          <w:lang w:bidi="fa-IR"/>
        </w:rPr>
        <w:t xml:space="preserve"> u</w:t>
      </w:r>
      <w:r w:rsidR="00B6097A" w:rsidRPr="007C52C9">
        <w:rPr>
          <w:rFonts w:asciiTheme="majorBidi" w:eastAsia="Calibri" w:hAnsiTheme="majorBidi" w:cstheme="majorBidi"/>
          <w:sz w:val="22"/>
          <w:lang w:bidi="fa-IR"/>
        </w:rPr>
        <w:t xml:space="preserve">tilized </w:t>
      </w:r>
      <w:r w:rsidR="00D95647" w:rsidRPr="00024A07">
        <w:rPr>
          <w:rFonts w:asciiTheme="majorBidi" w:eastAsia="Calibri" w:hAnsiTheme="majorBidi" w:cstheme="majorBidi"/>
          <w:sz w:val="22"/>
          <w:lang w:bidi="fa-IR"/>
        </w:rPr>
        <w:t xml:space="preserve">to </w:t>
      </w:r>
      <w:r w:rsidR="002A08E4">
        <w:rPr>
          <w:rFonts w:asciiTheme="majorBidi" w:eastAsia="Calibri" w:hAnsiTheme="majorBidi" w:cstheme="majorBidi"/>
          <w:sz w:val="22"/>
          <w:lang w:bidi="fa-IR"/>
        </w:rPr>
        <w:t xml:space="preserve">make sure about having </w:t>
      </w:r>
      <w:r w:rsidR="002A08E4" w:rsidRPr="00024A07">
        <w:rPr>
          <w:rFonts w:asciiTheme="majorBidi" w:eastAsia="Calibri" w:hAnsiTheme="majorBidi" w:cstheme="majorBidi"/>
          <w:sz w:val="22"/>
          <w:lang w:bidi="fa-IR"/>
        </w:rPr>
        <w:t>a</w:t>
      </w:r>
      <w:r w:rsidR="002A08E4" w:rsidRPr="002A08E4">
        <w:rPr>
          <w:rFonts w:asciiTheme="majorBidi" w:eastAsia="Calibri" w:hAnsiTheme="majorBidi" w:cstheme="majorBidi"/>
          <w:sz w:val="22"/>
          <w:lang w:bidi="fa-IR"/>
        </w:rPr>
        <w:t xml:space="preserve"> “level playing field for the purpose of comparison” </w:t>
      </w:r>
      <w:r w:rsidR="002A08E4">
        <w:rPr>
          <w:rFonts w:asciiTheme="majorBidi" w:eastAsia="Calibri" w:hAnsiTheme="majorBidi" w:cstheme="majorBidi"/>
          <w:sz w:val="22"/>
          <w:lang w:bidi="fa-IR"/>
        </w:rPr>
        <w:t xml:space="preserve">and </w:t>
      </w:r>
      <w:r w:rsidR="00D95647" w:rsidRPr="00024A07">
        <w:rPr>
          <w:rFonts w:asciiTheme="majorBidi" w:eastAsia="Calibri" w:hAnsiTheme="majorBidi" w:cstheme="majorBidi"/>
          <w:sz w:val="22"/>
          <w:lang w:bidi="fa-IR"/>
        </w:rPr>
        <w:t xml:space="preserve">that </w:t>
      </w:r>
      <w:r w:rsidR="007C52C9" w:rsidRPr="00024A07">
        <w:rPr>
          <w:rFonts w:asciiTheme="majorBidi" w:eastAsia="Calibri" w:hAnsiTheme="majorBidi" w:cstheme="majorBidi"/>
          <w:sz w:val="22"/>
          <w:lang w:bidi="fa-IR"/>
        </w:rPr>
        <w:t>any obscuring or confounding effect such as the effect of pretest on posttest (students’ test-wiseness) has been removed (</w:t>
      </w:r>
      <w:r w:rsidR="00295A95" w:rsidRPr="00024A07">
        <w:rPr>
          <w:rFonts w:asciiTheme="majorBidi" w:eastAsia="Calibri" w:hAnsiTheme="majorBidi" w:cstheme="majorBidi"/>
          <w:sz w:val="22"/>
          <w:lang w:bidi="fa-IR"/>
        </w:rPr>
        <w:t>Dörnyei</w:t>
      </w:r>
      <w:r w:rsidR="007C52C9" w:rsidRPr="00024A07">
        <w:rPr>
          <w:rFonts w:asciiTheme="majorBidi" w:eastAsia="Calibri" w:hAnsiTheme="majorBidi" w:cstheme="majorBidi"/>
          <w:sz w:val="22"/>
          <w:lang w:bidi="fa-IR"/>
        </w:rPr>
        <w:t>, 2007, p</w:t>
      </w:r>
      <w:r w:rsidR="00024A07" w:rsidRPr="00024A07">
        <w:rPr>
          <w:rFonts w:asciiTheme="majorBidi" w:eastAsia="Calibri" w:hAnsiTheme="majorBidi" w:cstheme="majorBidi"/>
          <w:sz w:val="22"/>
          <w:lang w:bidi="fa-IR"/>
        </w:rPr>
        <w:t xml:space="preserve">. 222). </w:t>
      </w:r>
    </w:p>
    <w:p w14:paraId="145C1D1D" w14:textId="77777777" w:rsidR="00244B27" w:rsidRPr="007E5185" w:rsidRDefault="002A4940" w:rsidP="00146C86">
      <w:pPr>
        <w:spacing w:after="120" w:line="240" w:lineRule="auto"/>
        <w:jc w:val="both"/>
        <w:rPr>
          <w:rFonts w:asciiTheme="majorBidi" w:hAnsiTheme="majorBidi" w:cstheme="majorBidi"/>
          <w:b/>
          <w:bCs/>
          <w:sz w:val="22"/>
        </w:rPr>
      </w:pPr>
      <w:r w:rsidRPr="007E5185">
        <w:rPr>
          <w:rFonts w:asciiTheme="majorBidi" w:hAnsiTheme="majorBidi" w:cstheme="majorBidi"/>
          <w:b/>
          <w:bCs/>
          <w:sz w:val="22"/>
        </w:rPr>
        <w:t xml:space="preserve">4. </w:t>
      </w:r>
      <w:r w:rsidR="00713913" w:rsidRPr="007E5185">
        <w:rPr>
          <w:rFonts w:asciiTheme="majorBidi" w:hAnsiTheme="majorBidi" w:cstheme="majorBidi"/>
          <w:b/>
          <w:bCs/>
          <w:sz w:val="22"/>
        </w:rPr>
        <w:t>Result</w:t>
      </w:r>
      <w:r w:rsidRPr="007E5185">
        <w:rPr>
          <w:rFonts w:asciiTheme="majorBidi" w:hAnsiTheme="majorBidi" w:cstheme="majorBidi"/>
          <w:b/>
          <w:bCs/>
          <w:sz w:val="22"/>
        </w:rPr>
        <w:t>s</w:t>
      </w:r>
    </w:p>
    <w:p w14:paraId="2CD58C78" w14:textId="77777777" w:rsidR="008F3EAE" w:rsidRPr="005D7AAB" w:rsidRDefault="00842B47" w:rsidP="00E4270D">
      <w:pPr>
        <w:spacing w:after="120" w:line="240" w:lineRule="auto"/>
        <w:ind w:left="115" w:right="72"/>
        <w:jc w:val="both"/>
        <w:rPr>
          <w:rFonts w:asciiTheme="majorBidi" w:hAnsiTheme="majorBidi" w:cstheme="majorBidi"/>
          <w:b/>
          <w:bCs/>
          <w:sz w:val="22"/>
        </w:rPr>
      </w:pPr>
      <w:r w:rsidRPr="00592E4A">
        <w:rPr>
          <w:rFonts w:asciiTheme="majorBidi" w:hAnsiTheme="majorBidi" w:cstheme="majorBidi"/>
          <w:sz w:val="22"/>
        </w:rPr>
        <w:t xml:space="preserve">The quantitative data collected were analyzed and interpreted by means of Statistical Packages for the Social Sciences (SPSS) version </w:t>
      </w:r>
      <w:r w:rsidR="00EB2132" w:rsidRPr="00592E4A">
        <w:rPr>
          <w:rFonts w:asciiTheme="majorBidi" w:hAnsiTheme="majorBidi" w:cstheme="majorBidi"/>
          <w:sz w:val="22"/>
        </w:rPr>
        <w:t>23</w:t>
      </w:r>
      <w:r w:rsidRPr="00592E4A">
        <w:rPr>
          <w:rFonts w:asciiTheme="majorBidi" w:hAnsiTheme="majorBidi" w:cstheme="majorBidi"/>
          <w:sz w:val="22"/>
        </w:rPr>
        <w:t>.</w:t>
      </w:r>
      <w:r w:rsidR="0023009C" w:rsidRPr="00592E4A">
        <w:rPr>
          <w:rFonts w:asciiTheme="majorBidi" w:hAnsiTheme="majorBidi" w:cstheme="majorBidi"/>
          <w:sz w:val="22"/>
        </w:rPr>
        <w:t xml:space="preserve"> The results were as the following.</w:t>
      </w:r>
      <w:r w:rsidR="00E4270D">
        <w:rPr>
          <w:rFonts w:asciiTheme="majorBidi" w:hAnsiTheme="majorBidi" w:cstheme="majorBidi"/>
          <w:sz w:val="22"/>
        </w:rPr>
        <w:t xml:space="preserve"> </w:t>
      </w:r>
      <w:r w:rsidR="00E53C59" w:rsidRPr="005D7AAB">
        <w:rPr>
          <w:rFonts w:asciiTheme="majorBidi" w:hAnsiTheme="majorBidi" w:cstheme="majorBidi"/>
          <w:sz w:val="22"/>
        </w:rPr>
        <w:t>In</w:t>
      </w:r>
      <w:r w:rsidR="008F3EAE" w:rsidRPr="005D7AAB">
        <w:rPr>
          <w:rFonts w:asciiTheme="majorBidi" w:hAnsiTheme="majorBidi" w:cstheme="majorBidi"/>
          <w:sz w:val="22"/>
        </w:rPr>
        <w:t xml:space="preserve"> order to answer th</w:t>
      </w:r>
      <w:r w:rsidR="00E53C59" w:rsidRPr="005D7AAB">
        <w:rPr>
          <w:rFonts w:asciiTheme="majorBidi" w:hAnsiTheme="majorBidi" w:cstheme="majorBidi"/>
          <w:sz w:val="22"/>
        </w:rPr>
        <w:t>e first</w:t>
      </w:r>
      <w:r w:rsidR="008F3EAE" w:rsidRPr="005D7AAB">
        <w:rPr>
          <w:rFonts w:asciiTheme="majorBidi" w:hAnsiTheme="majorBidi" w:cstheme="majorBidi"/>
          <w:sz w:val="22"/>
        </w:rPr>
        <w:t xml:space="preserve"> research question, the pretest and posttest scores of the EG</w:t>
      </w:r>
      <w:r w:rsidR="00F11BA2" w:rsidRPr="005D7AAB">
        <w:rPr>
          <w:rFonts w:asciiTheme="majorBidi" w:hAnsiTheme="majorBidi" w:cstheme="majorBidi"/>
          <w:sz w:val="22"/>
        </w:rPr>
        <w:t>s</w:t>
      </w:r>
      <w:r w:rsidR="00E53C59" w:rsidRPr="005D7AAB">
        <w:rPr>
          <w:rFonts w:asciiTheme="majorBidi" w:hAnsiTheme="majorBidi" w:cstheme="majorBidi"/>
          <w:sz w:val="22"/>
        </w:rPr>
        <w:t xml:space="preserve"> (Experimental Group</w:t>
      </w:r>
      <w:r w:rsidR="00F11BA2" w:rsidRPr="005D7AAB">
        <w:rPr>
          <w:rFonts w:asciiTheme="majorBidi" w:hAnsiTheme="majorBidi" w:cstheme="majorBidi"/>
          <w:sz w:val="22"/>
        </w:rPr>
        <w:t>s</w:t>
      </w:r>
      <w:r w:rsidR="00E53C59" w:rsidRPr="005D7AAB">
        <w:rPr>
          <w:rFonts w:asciiTheme="majorBidi" w:hAnsiTheme="majorBidi" w:cstheme="majorBidi"/>
          <w:sz w:val="22"/>
        </w:rPr>
        <w:t>)</w:t>
      </w:r>
      <w:r w:rsidR="008F3EAE" w:rsidRPr="005D7AAB">
        <w:rPr>
          <w:rFonts w:asciiTheme="majorBidi" w:hAnsiTheme="majorBidi" w:cstheme="majorBidi"/>
          <w:sz w:val="22"/>
        </w:rPr>
        <w:t xml:space="preserve"> were compared via the paired-samples </w:t>
      </w:r>
      <w:r w:rsidR="008F3EAE" w:rsidRPr="005D7AAB">
        <w:rPr>
          <w:rFonts w:asciiTheme="majorBidi" w:hAnsiTheme="majorBidi" w:cstheme="majorBidi"/>
          <w:i/>
          <w:iCs/>
          <w:sz w:val="22"/>
        </w:rPr>
        <w:t xml:space="preserve">t </w:t>
      </w:r>
      <w:r w:rsidR="008F3EAE" w:rsidRPr="005D7AAB">
        <w:rPr>
          <w:rFonts w:asciiTheme="majorBidi" w:hAnsiTheme="majorBidi" w:cstheme="majorBidi"/>
          <w:sz w:val="22"/>
        </w:rPr>
        <w:t xml:space="preserve">test. </w:t>
      </w:r>
      <w:r w:rsidR="00F11BA2" w:rsidRPr="005D7AAB">
        <w:rPr>
          <w:rFonts w:asciiTheme="majorBidi" w:hAnsiTheme="majorBidi" w:cstheme="majorBidi"/>
          <w:sz w:val="22"/>
        </w:rPr>
        <w:t>This</w:t>
      </w:r>
      <w:r w:rsidR="008F3EAE" w:rsidRPr="005D7AAB">
        <w:rPr>
          <w:rFonts w:asciiTheme="majorBidi" w:hAnsiTheme="majorBidi" w:cstheme="majorBidi"/>
          <w:sz w:val="22"/>
        </w:rPr>
        <w:t xml:space="preserve"> statistical procedure was </w:t>
      </w:r>
      <w:r w:rsidR="00F11BA2" w:rsidRPr="005D7AAB">
        <w:rPr>
          <w:rFonts w:asciiTheme="majorBidi" w:hAnsiTheme="majorBidi" w:cstheme="majorBidi"/>
          <w:sz w:val="22"/>
        </w:rPr>
        <w:t xml:space="preserve">also </w:t>
      </w:r>
      <w:r w:rsidR="008F3EAE" w:rsidRPr="005D7AAB">
        <w:rPr>
          <w:rFonts w:asciiTheme="majorBidi" w:hAnsiTheme="majorBidi" w:cstheme="majorBidi"/>
          <w:sz w:val="22"/>
        </w:rPr>
        <w:t>used to compare the pretest and posttest scores of the CG</w:t>
      </w:r>
      <w:r w:rsidR="00592E4A" w:rsidRPr="005D7AAB">
        <w:rPr>
          <w:rFonts w:asciiTheme="majorBidi" w:hAnsiTheme="majorBidi" w:cstheme="majorBidi"/>
          <w:sz w:val="22"/>
        </w:rPr>
        <w:t>s</w:t>
      </w:r>
      <w:r w:rsidR="00E53C59" w:rsidRPr="005D7AAB">
        <w:rPr>
          <w:rFonts w:asciiTheme="majorBidi" w:hAnsiTheme="majorBidi" w:cstheme="majorBidi"/>
          <w:sz w:val="22"/>
        </w:rPr>
        <w:t xml:space="preserve"> (Control Group</w:t>
      </w:r>
      <w:r w:rsidR="00592E4A" w:rsidRPr="005D7AAB">
        <w:rPr>
          <w:rFonts w:asciiTheme="majorBidi" w:hAnsiTheme="majorBidi" w:cstheme="majorBidi"/>
          <w:sz w:val="22"/>
        </w:rPr>
        <w:t>s</w:t>
      </w:r>
      <w:r w:rsidR="00E53C59" w:rsidRPr="005D7AAB">
        <w:rPr>
          <w:rFonts w:asciiTheme="majorBidi" w:hAnsiTheme="majorBidi" w:cstheme="majorBidi"/>
          <w:sz w:val="22"/>
        </w:rPr>
        <w:t>)</w:t>
      </w:r>
      <w:r w:rsidR="008F3EAE" w:rsidRPr="005D7AAB">
        <w:rPr>
          <w:rFonts w:asciiTheme="majorBidi" w:hAnsiTheme="majorBidi" w:cstheme="majorBidi"/>
          <w:sz w:val="22"/>
        </w:rPr>
        <w:t>.</w:t>
      </w:r>
      <w:r w:rsidR="00DC7A7D">
        <w:rPr>
          <w:rFonts w:asciiTheme="majorBidi" w:hAnsiTheme="majorBidi" w:cstheme="majorBidi"/>
          <w:sz w:val="22"/>
        </w:rPr>
        <w:t xml:space="preserve"> To see whether the</w:t>
      </w:r>
      <w:r w:rsidR="008F3EAE" w:rsidRPr="005D7AAB">
        <w:rPr>
          <w:rFonts w:asciiTheme="majorBidi" w:hAnsiTheme="majorBidi" w:cstheme="majorBidi"/>
          <w:sz w:val="22"/>
        </w:rPr>
        <w:t xml:space="preserve"> difference in the pretest and posttest mean scores of the EG learners was statistically significant or not, the researcher had to consult the </w:t>
      </w:r>
      <w:r w:rsidR="008F3EAE" w:rsidRPr="005D7AAB">
        <w:rPr>
          <w:rFonts w:asciiTheme="majorBidi" w:hAnsiTheme="majorBidi" w:cstheme="majorBidi"/>
          <w:i/>
          <w:iCs/>
          <w:sz w:val="22"/>
        </w:rPr>
        <w:t xml:space="preserve">p </w:t>
      </w:r>
      <w:r w:rsidR="008F3EAE" w:rsidRPr="005D7AAB">
        <w:rPr>
          <w:rFonts w:asciiTheme="majorBidi" w:hAnsiTheme="majorBidi" w:cstheme="majorBidi"/>
          <w:sz w:val="22"/>
        </w:rPr>
        <w:t xml:space="preserve">value under the </w:t>
      </w:r>
      <w:r w:rsidR="008F3EAE" w:rsidRPr="005D7AAB">
        <w:rPr>
          <w:rFonts w:asciiTheme="majorBidi" w:hAnsiTheme="majorBidi" w:cstheme="majorBidi"/>
          <w:i/>
          <w:iCs/>
          <w:sz w:val="22"/>
        </w:rPr>
        <w:t xml:space="preserve">Sig. </w:t>
      </w:r>
      <w:r w:rsidR="008F3EAE" w:rsidRPr="005D7AAB">
        <w:rPr>
          <w:rFonts w:asciiTheme="majorBidi" w:hAnsiTheme="majorBidi" w:cstheme="majorBidi"/>
          <w:sz w:val="22"/>
        </w:rPr>
        <w:t xml:space="preserve">column in the paired-samples </w:t>
      </w:r>
      <w:r w:rsidR="008F3EAE" w:rsidRPr="005D7AAB">
        <w:rPr>
          <w:rFonts w:asciiTheme="majorBidi" w:hAnsiTheme="majorBidi" w:cstheme="majorBidi"/>
          <w:i/>
          <w:iCs/>
          <w:sz w:val="22"/>
        </w:rPr>
        <w:t xml:space="preserve">t </w:t>
      </w:r>
      <w:r w:rsidR="008F3EAE" w:rsidRPr="005D7AAB">
        <w:rPr>
          <w:rFonts w:asciiTheme="majorBidi" w:hAnsiTheme="majorBidi" w:cstheme="majorBidi"/>
          <w:sz w:val="22"/>
        </w:rPr>
        <w:t>test table</w:t>
      </w:r>
      <w:r w:rsidR="00244B27" w:rsidRPr="005D7AAB">
        <w:rPr>
          <w:rFonts w:asciiTheme="majorBidi" w:hAnsiTheme="majorBidi" w:cstheme="majorBidi"/>
          <w:sz w:val="22"/>
        </w:rPr>
        <w:t>.</w:t>
      </w:r>
    </w:p>
    <w:p w14:paraId="596B9BB1" w14:textId="77777777" w:rsidR="00244B27" w:rsidRPr="00295A95" w:rsidRDefault="00244B27"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351DE4" w:rsidRPr="00295A95">
        <w:rPr>
          <w:rFonts w:asciiTheme="majorBidi" w:eastAsia="Times New Roman" w:hAnsiTheme="majorBidi" w:cstheme="majorBidi"/>
          <w:sz w:val="20"/>
          <w:szCs w:val="20"/>
        </w:rPr>
        <w:t>2</w:t>
      </w:r>
      <w:r w:rsidR="00E4270D" w:rsidRPr="00295A95">
        <w:rPr>
          <w:rFonts w:asciiTheme="majorBidi" w:eastAsia="Times New Roman" w:hAnsiTheme="majorBidi" w:cstheme="majorBidi"/>
          <w:sz w:val="20"/>
          <w:szCs w:val="20"/>
        </w:rPr>
        <w:t>: Results of Paired-samples t-t</w:t>
      </w:r>
      <w:r w:rsidRPr="00295A95">
        <w:rPr>
          <w:rFonts w:asciiTheme="majorBidi" w:eastAsia="Times New Roman" w:hAnsiTheme="majorBidi" w:cstheme="majorBidi"/>
          <w:sz w:val="20"/>
          <w:szCs w:val="20"/>
        </w:rPr>
        <w:t>est for the Pretest and Posttest of EG</w:t>
      </w:r>
    </w:p>
    <w:tbl>
      <w:tblPr>
        <w:tblW w:w="9360"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33"/>
        <w:gridCol w:w="1224"/>
        <w:gridCol w:w="1010"/>
        <w:gridCol w:w="1010"/>
        <w:gridCol w:w="1423"/>
        <w:gridCol w:w="1140"/>
        <w:gridCol w:w="3420"/>
      </w:tblGrid>
      <w:tr w:rsidR="00244B27" w:rsidRPr="00E4270D" w14:paraId="3F61D105" w14:textId="77777777" w:rsidTr="00E4270D">
        <w:trPr>
          <w:cantSplit/>
          <w:jc w:val="center"/>
        </w:trPr>
        <w:tc>
          <w:tcPr>
            <w:tcW w:w="1357" w:type="dxa"/>
            <w:gridSpan w:val="2"/>
            <w:shd w:val="clear" w:color="auto" w:fill="FFFFFF"/>
          </w:tcPr>
          <w:p w14:paraId="1040C58C" w14:textId="77777777" w:rsidR="00244B27" w:rsidRPr="00E4270D" w:rsidRDefault="00244B27" w:rsidP="001132F9">
            <w:pPr>
              <w:autoSpaceDE w:val="0"/>
              <w:autoSpaceDN w:val="0"/>
              <w:adjustRightInd w:val="0"/>
              <w:spacing w:after="0" w:line="240" w:lineRule="auto"/>
              <w:rPr>
                <w:rFonts w:asciiTheme="majorBidi" w:hAnsiTheme="majorBidi" w:cstheme="majorBidi"/>
                <w:sz w:val="20"/>
                <w:szCs w:val="20"/>
              </w:rPr>
            </w:pPr>
          </w:p>
        </w:tc>
        <w:tc>
          <w:tcPr>
            <w:tcW w:w="1010" w:type="dxa"/>
            <w:shd w:val="clear" w:color="auto" w:fill="FFFFFF"/>
          </w:tcPr>
          <w:p w14:paraId="1FE74315" w14:textId="77777777" w:rsidR="00244B27" w:rsidRPr="00295A95"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Mean</w:t>
            </w:r>
          </w:p>
        </w:tc>
        <w:tc>
          <w:tcPr>
            <w:tcW w:w="1010" w:type="dxa"/>
            <w:shd w:val="clear" w:color="auto" w:fill="FFFFFF"/>
          </w:tcPr>
          <w:p w14:paraId="06055174" w14:textId="77777777" w:rsidR="00244B27" w:rsidRPr="00295A95"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N</w:t>
            </w:r>
          </w:p>
        </w:tc>
        <w:tc>
          <w:tcPr>
            <w:tcW w:w="1423" w:type="dxa"/>
            <w:shd w:val="clear" w:color="auto" w:fill="FFFFFF"/>
          </w:tcPr>
          <w:p w14:paraId="151273EF" w14:textId="77777777" w:rsidR="00244B27" w:rsidRPr="00295A95"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t</w:t>
            </w:r>
          </w:p>
        </w:tc>
        <w:tc>
          <w:tcPr>
            <w:tcW w:w="1140" w:type="dxa"/>
            <w:shd w:val="clear" w:color="auto" w:fill="FFFFFF"/>
          </w:tcPr>
          <w:p w14:paraId="7FF6526A" w14:textId="77777777" w:rsidR="00244B27" w:rsidRPr="00295A95" w:rsidRDefault="00244B27" w:rsidP="005D7AAB">
            <w:pPr>
              <w:autoSpaceDE w:val="0"/>
              <w:autoSpaceDN w:val="0"/>
              <w:adjustRightInd w:val="0"/>
              <w:spacing w:after="0" w:line="240" w:lineRule="auto"/>
              <w:ind w:left="60" w:right="60"/>
              <w:rPr>
                <w:rFonts w:asciiTheme="majorBidi" w:hAnsiTheme="majorBidi" w:cstheme="majorBidi"/>
                <w:color w:val="000000"/>
                <w:sz w:val="20"/>
                <w:szCs w:val="20"/>
              </w:rPr>
            </w:pPr>
            <w:r w:rsidRPr="00295A95">
              <w:rPr>
                <w:rFonts w:asciiTheme="majorBidi" w:hAnsiTheme="majorBidi" w:cstheme="majorBidi"/>
                <w:color w:val="000000"/>
                <w:sz w:val="20"/>
                <w:szCs w:val="20"/>
              </w:rPr>
              <w:t>df</w:t>
            </w:r>
          </w:p>
        </w:tc>
        <w:tc>
          <w:tcPr>
            <w:tcW w:w="3420" w:type="dxa"/>
            <w:shd w:val="clear" w:color="auto" w:fill="FFFFFF"/>
          </w:tcPr>
          <w:p w14:paraId="27C4AE5C" w14:textId="77777777" w:rsidR="00244B27" w:rsidRPr="00295A95" w:rsidRDefault="00244B27" w:rsidP="005D7AAB">
            <w:pPr>
              <w:autoSpaceDE w:val="0"/>
              <w:autoSpaceDN w:val="0"/>
              <w:adjustRightInd w:val="0"/>
              <w:spacing w:after="0" w:line="240" w:lineRule="auto"/>
              <w:ind w:right="60"/>
              <w:rPr>
                <w:rFonts w:asciiTheme="majorBidi" w:hAnsiTheme="majorBidi" w:cstheme="majorBidi"/>
                <w:color w:val="000000"/>
                <w:sz w:val="20"/>
                <w:szCs w:val="20"/>
              </w:rPr>
            </w:pPr>
            <w:r w:rsidRPr="00295A95">
              <w:rPr>
                <w:rFonts w:asciiTheme="majorBidi" w:hAnsiTheme="majorBidi" w:cstheme="majorBidi"/>
                <w:color w:val="000000"/>
                <w:sz w:val="20"/>
                <w:szCs w:val="20"/>
              </w:rPr>
              <w:t>Sig. (2-tailed)</w:t>
            </w:r>
            <w:r w:rsidR="005D7AAB" w:rsidRPr="00295A95">
              <w:rPr>
                <w:rFonts w:asciiTheme="majorBidi" w:hAnsiTheme="majorBidi" w:cstheme="majorBidi"/>
                <w:color w:val="000000"/>
                <w:sz w:val="20"/>
                <w:szCs w:val="20"/>
              </w:rPr>
              <w:t xml:space="preserve">      Partial Eta Squared</w:t>
            </w:r>
          </w:p>
        </w:tc>
      </w:tr>
      <w:tr w:rsidR="00244B27" w:rsidRPr="00E4270D" w14:paraId="074811AD" w14:textId="77777777" w:rsidTr="00E4270D">
        <w:trPr>
          <w:cantSplit/>
          <w:jc w:val="center"/>
        </w:trPr>
        <w:tc>
          <w:tcPr>
            <w:tcW w:w="133" w:type="dxa"/>
            <w:vMerge w:val="restart"/>
            <w:shd w:val="clear" w:color="auto" w:fill="FFFFFF"/>
            <w:vAlign w:val="center"/>
          </w:tcPr>
          <w:p w14:paraId="269C7F3D" w14:textId="77777777" w:rsidR="00244B27" w:rsidRPr="00E4270D" w:rsidRDefault="00244B27" w:rsidP="001132F9">
            <w:pPr>
              <w:autoSpaceDE w:val="0"/>
              <w:autoSpaceDN w:val="0"/>
              <w:adjustRightInd w:val="0"/>
              <w:spacing w:after="0" w:line="240" w:lineRule="auto"/>
              <w:ind w:left="60" w:right="60"/>
              <w:rPr>
                <w:rFonts w:asciiTheme="majorBidi" w:hAnsiTheme="majorBidi" w:cstheme="majorBidi"/>
                <w:color w:val="000000"/>
                <w:sz w:val="20"/>
                <w:szCs w:val="20"/>
              </w:rPr>
            </w:pPr>
          </w:p>
        </w:tc>
        <w:tc>
          <w:tcPr>
            <w:tcW w:w="1224" w:type="dxa"/>
            <w:shd w:val="clear" w:color="auto" w:fill="FFFFFF"/>
            <w:vAlign w:val="center"/>
          </w:tcPr>
          <w:p w14:paraId="5CCA1981" w14:textId="77777777" w:rsidR="00244B27" w:rsidRPr="00E4270D" w:rsidRDefault="00244B27"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EG Pretest</w:t>
            </w:r>
          </w:p>
        </w:tc>
        <w:tc>
          <w:tcPr>
            <w:tcW w:w="1010" w:type="dxa"/>
            <w:shd w:val="clear" w:color="auto" w:fill="FFFFFF"/>
          </w:tcPr>
          <w:p w14:paraId="50415B9B"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4.24</w:t>
            </w:r>
          </w:p>
        </w:tc>
        <w:tc>
          <w:tcPr>
            <w:tcW w:w="1010" w:type="dxa"/>
            <w:shd w:val="clear" w:color="auto" w:fill="FFFFFF"/>
          </w:tcPr>
          <w:p w14:paraId="766418CE"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36</w:t>
            </w:r>
          </w:p>
        </w:tc>
        <w:tc>
          <w:tcPr>
            <w:tcW w:w="1423" w:type="dxa"/>
            <w:vMerge w:val="restart"/>
            <w:shd w:val="clear" w:color="auto" w:fill="FFFFFF"/>
          </w:tcPr>
          <w:p w14:paraId="79188C52"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-13.46</w:t>
            </w:r>
          </w:p>
        </w:tc>
        <w:tc>
          <w:tcPr>
            <w:tcW w:w="1140" w:type="dxa"/>
            <w:vMerge w:val="restart"/>
            <w:shd w:val="clear" w:color="auto" w:fill="FFFFFF"/>
          </w:tcPr>
          <w:p w14:paraId="3DCC1ECC" w14:textId="77777777" w:rsidR="00244B27" w:rsidRPr="00E4270D" w:rsidRDefault="00244B27" w:rsidP="005D7AAB">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35</w:t>
            </w:r>
          </w:p>
        </w:tc>
        <w:tc>
          <w:tcPr>
            <w:tcW w:w="3420" w:type="dxa"/>
            <w:vMerge w:val="restart"/>
            <w:shd w:val="clear" w:color="auto" w:fill="FFFFFF"/>
          </w:tcPr>
          <w:p w14:paraId="5AC65F6F" w14:textId="77777777" w:rsidR="00244B27" w:rsidRPr="00E4270D" w:rsidRDefault="005D7AAB" w:rsidP="005D7AAB">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244B27" w:rsidRPr="00E4270D">
              <w:rPr>
                <w:rFonts w:asciiTheme="majorBidi" w:hAnsiTheme="majorBidi" w:cstheme="majorBidi"/>
                <w:color w:val="000000"/>
                <w:sz w:val="20"/>
                <w:szCs w:val="20"/>
              </w:rPr>
              <w:t>.00</w:t>
            </w:r>
            <w:r w:rsidRPr="00E4270D">
              <w:rPr>
                <w:rFonts w:asciiTheme="majorBidi" w:hAnsiTheme="majorBidi" w:cstheme="majorBidi"/>
                <w:color w:val="000000"/>
                <w:sz w:val="20"/>
                <w:szCs w:val="20"/>
              </w:rPr>
              <w:t xml:space="preserve">                            .83</w:t>
            </w:r>
          </w:p>
        </w:tc>
      </w:tr>
      <w:tr w:rsidR="00244B27" w:rsidRPr="00E4270D" w14:paraId="0ED965E8" w14:textId="77777777" w:rsidTr="00E4270D">
        <w:trPr>
          <w:cantSplit/>
          <w:jc w:val="center"/>
        </w:trPr>
        <w:tc>
          <w:tcPr>
            <w:tcW w:w="133" w:type="dxa"/>
            <w:vMerge/>
            <w:shd w:val="clear" w:color="auto" w:fill="FFFFFF"/>
            <w:vAlign w:val="center"/>
          </w:tcPr>
          <w:p w14:paraId="72DABFFC" w14:textId="77777777" w:rsidR="00244B27" w:rsidRPr="00E4270D" w:rsidRDefault="00244B27" w:rsidP="001132F9">
            <w:pPr>
              <w:autoSpaceDE w:val="0"/>
              <w:autoSpaceDN w:val="0"/>
              <w:adjustRightInd w:val="0"/>
              <w:spacing w:after="0" w:line="240" w:lineRule="auto"/>
              <w:rPr>
                <w:rFonts w:asciiTheme="majorBidi" w:hAnsiTheme="majorBidi" w:cstheme="majorBidi"/>
                <w:color w:val="000000"/>
                <w:sz w:val="20"/>
                <w:szCs w:val="20"/>
              </w:rPr>
            </w:pPr>
          </w:p>
        </w:tc>
        <w:tc>
          <w:tcPr>
            <w:tcW w:w="1224" w:type="dxa"/>
            <w:shd w:val="clear" w:color="auto" w:fill="FFFFFF"/>
            <w:vAlign w:val="center"/>
          </w:tcPr>
          <w:p w14:paraId="4D0411D8" w14:textId="77777777" w:rsidR="00244B27" w:rsidRPr="00E4270D" w:rsidRDefault="00244B27"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EG Posttest</w:t>
            </w:r>
          </w:p>
        </w:tc>
        <w:tc>
          <w:tcPr>
            <w:tcW w:w="1010" w:type="dxa"/>
            <w:shd w:val="clear" w:color="auto" w:fill="FFFFFF"/>
          </w:tcPr>
          <w:p w14:paraId="302D6981"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5.45</w:t>
            </w:r>
          </w:p>
        </w:tc>
        <w:tc>
          <w:tcPr>
            <w:tcW w:w="1010" w:type="dxa"/>
            <w:shd w:val="clear" w:color="auto" w:fill="FFFFFF"/>
          </w:tcPr>
          <w:p w14:paraId="59355221"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36</w:t>
            </w:r>
          </w:p>
        </w:tc>
        <w:tc>
          <w:tcPr>
            <w:tcW w:w="1423" w:type="dxa"/>
            <w:vMerge/>
            <w:shd w:val="clear" w:color="auto" w:fill="FFFFFF"/>
          </w:tcPr>
          <w:p w14:paraId="6D9C94C7"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140" w:type="dxa"/>
            <w:vMerge/>
            <w:shd w:val="clear" w:color="auto" w:fill="FFFFFF"/>
          </w:tcPr>
          <w:p w14:paraId="2B047980"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3420" w:type="dxa"/>
            <w:vMerge/>
            <w:shd w:val="clear" w:color="auto" w:fill="FFFFFF"/>
          </w:tcPr>
          <w:p w14:paraId="65B5E9DB" w14:textId="77777777" w:rsidR="00244B27" w:rsidRPr="00E4270D" w:rsidRDefault="00244B27"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bl>
    <w:p w14:paraId="4527259C" w14:textId="77777777" w:rsidR="00244B27" w:rsidRPr="00D26C0E" w:rsidRDefault="00244B27" w:rsidP="001132F9">
      <w:pPr>
        <w:spacing w:line="240" w:lineRule="auto"/>
        <w:rPr>
          <w:rFonts w:asciiTheme="majorBidi" w:hAnsiTheme="majorBidi" w:cstheme="majorBidi"/>
          <w:sz w:val="22"/>
          <w:highlight w:val="yellow"/>
        </w:rPr>
      </w:pPr>
    </w:p>
    <w:p w14:paraId="09DAB195" w14:textId="77777777" w:rsidR="00B72219" w:rsidRPr="005D7AAB" w:rsidRDefault="00244B27" w:rsidP="00E4270D">
      <w:pPr>
        <w:autoSpaceDE w:val="0"/>
        <w:autoSpaceDN w:val="0"/>
        <w:adjustRightInd w:val="0"/>
        <w:spacing w:after="120" w:line="240" w:lineRule="auto"/>
        <w:ind w:left="115" w:right="72"/>
        <w:jc w:val="both"/>
        <w:rPr>
          <w:rFonts w:asciiTheme="majorBidi" w:hAnsiTheme="majorBidi" w:cstheme="majorBidi"/>
          <w:sz w:val="22"/>
        </w:rPr>
      </w:pPr>
      <w:r w:rsidRPr="005D7AAB">
        <w:rPr>
          <w:rFonts w:asciiTheme="majorBidi" w:hAnsiTheme="majorBidi" w:cstheme="majorBidi"/>
          <w:sz w:val="22"/>
        </w:rPr>
        <w:t>The</w:t>
      </w:r>
      <w:r w:rsidR="008F3EAE" w:rsidRPr="005D7AAB">
        <w:rPr>
          <w:rFonts w:asciiTheme="majorBidi" w:hAnsiTheme="majorBidi" w:cstheme="majorBidi"/>
          <w:sz w:val="22"/>
        </w:rPr>
        <w:t xml:space="preserve"> </w:t>
      </w:r>
      <w:r w:rsidR="008F3EAE" w:rsidRPr="005D7AAB">
        <w:rPr>
          <w:rFonts w:asciiTheme="majorBidi" w:hAnsiTheme="majorBidi" w:cstheme="majorBidi"/>
          <w:i/>
          <w:iCs/>
          <w:sz w:val="22"/>
        </w:rPr>
        <w:t xml:space="preserve">p </w:t>
      </w:r>
      <w:r w:rsidR="008F3EAE" w:rsidRPr="005D7AAB">
        <w:rPr>
          <w:rFonts w:asciiTheme="majorBidi" w:hAnsiTheme="majorBidi" w:cstheme="majorBidi"/>
          <w:sz w:val="22"/>
        </w:rPr>
        <w:t>value turned out to be lower than the significance level (</w:t>
      </w:r>
      <w:r w:rsidR="008F3EAE" w:rsidRPr="005D7AAB">
        <w:rPr>
          <w:rFonts w:asciiTheme="majorBidi" w:hAnsiTheme="majorBidi" w:cstheme="majorBidi"/>
          <w:i/>
          <w:iCs/>
          <w:sz w:val="22"/>
        </w:rPr>
        <w:t xml:space="preserve">p </w:t>
      </w:r>
      <w:r w:rsidR="008F3EAE" w:rsidRPr="005D7AAB">
        <w:rPr>
          <w:rFonts w:asciiTheme="majorBidi" w:hAnsiTheme="majorBidi" w:cstheme="majorBidi"/>
          <w:sz w:val="22"/>
        </w:rPr>
        <w:t>&lt; .05), indicating that the difference between the pretest and posttest scores of the EG learners reached statistical significance. In addition, the effect size, computed through the eta squared formula, equaled .83, which, according to Cohen (as cited in Pallant, 2010), signified a large effect.</w:t>
      </w:r>
    </w:p>
    <w:p w14:paraId="25DB67CA" w14:textId="77777777" w:rsidR="005D7AAB" w:rsidRPr="005D7AAB" w:rsidRDefault="008F3EAE" w:rsidP="00146C86">
      <w:pPr>
        <w:autoSpaceDE w:val="0"/>
        <w:autoSpaceDN w:val="0"/>
        <w:adjustRightInd w:val="0"/>
        <w:spacing w:after="120" w:line="240" w:lineRule="auto"/>
        <w:ind w:left="115" w:right="72" w:firstLine="562"/>
        <w:jc w:val="both"/>
        <w:rPr>
          <w:rFonts w:asciiTheme="majorBidi" w:hAnsiTheme="majorBidi" w:cstheme="majorBidi"/>
          <w:sz w:val="22"/>
        </w:rPr>
      </w:pPr>
      <w:r w:rsidRPr="005D7AAB">
        <w:rPr>
          <w:rFonts w:asciiTheme="majorBidi" w:hAnsiTheme="majorBidi" w:cstheme="majorBidi"/>
          <w:sz w:val="22"/>
        </w:rPr>
        <w:t xml:space="preserve">The same procedure adopted to compare the pretest and posttest scores of the EG learners was applied to CG learners. </w:t>
      </w:r>
      <w:r w:rsidR="005D7AAB" w:rsidRPr="005D7AAB">
        <w:rPr>
          <w:rFonts w:asciiTheme="majorBidi" w:hAnsiTheme="majorBidi" w:cstheme="majorBidi"/>
          <w:sz w:val="22"/>
        </w:rPr>
        <w:t xml:space="preserve">The </w:t>
      </w:r>
      <w:r w:rsidR="005D7AAB" w:rsidRPr="005D7AAB">
        <w:rPr>
          <w:rFonts w:asciiTheme="majorBidi" w:hAnsiTheme="majorBidi" w:cstheme="majorBidi"/>
          <w:i/>
          <w:iCs/>
          <w:sz w:val="22"/>
        </w:rPr>
        <w:t xml:space="preserve">p </w:t>
      </w:r>
      <w:r w:rsidR="005D7AAB" w:rsidRPr="005D7AAB">
        <w:rPr>
          <w:rFonts w:asciiTheme="majorBidi" w:hAnsiTheme="majorBidi" w:cstheme="majorBidi"/>
          <w:sz w:val="22"/>
        </w:rPr>
        <w:t xml:space="preserve">value was less than the significance level (.00 &lt; .05), which indicated that the difference between the pretest and posttest scores of the CG learners was statistically significant. The eta squared value also showed a large effect size (.71) for this comparison. </w:t>
      </w:r>
    </w:p>
    <w:p w14:paraId="698F4D95" w14:textId="77777777" w:rsidR="00244B27" w:rsidRPr="00295A95" w:rsidRDefault="00244B27"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351DE4" w:rsidRPr="00295A95">
        <w:rPr>
          <w:rFonts w:asciiTheme="majorBidi" w:eastAsia="Times New Roman" w:hAnsiTheme="majorBidi" w:cstheme="majorBidi"/>
          <w:sz w:val="20"/>
          <w:szCs w:val="20"/>
        </w:rPr>
        <w:t>3</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Results of Paired-</w:t>
      </w:r>
      <w:r w:rsidR="00E4270D" w:rsidRPr="00295A95">
        <w:rPr>
          <w:rFonts w:asciiTheme="majorBidi" w:eastAsia="Times New Roman" w:hAnsiTheme="majorBidi" w:cstheme="majorBidi"/>
          <w:sz w:val="20"/>
          <w:szCs w:val="20"/>
        </w:rPr>
        <w:t>samples t-t</w:t>
      </w:r>
      <w:r w:rsidRPr="00295A95">
        <w:rPr>
          <w:rFonts w:asciiTheme="majorBidi" w:eastAsia="Times New Roman" w:hAnsiTheme="majorBidi" w:cstheme="majorBidi"/>
          <w:sz w:val="20"/>
          <w:szCs w:val="20"/>
        </w:rPr>
        <w:t>est for the Pretest and Posttest of the CG</w:t>
      </w:r>
    </w:p>
    <w:tbl>
      <w:tblPr>
        <w:tblW w:w="936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43"/>
        <w:gridCol w:w="1224"/>
        <w:gridCol w:w="1010"/>
        <w:gridCol w:w="1010"/>
        <w:gridCol w:w="1423"/>
        <w:gridCol w:w="1230"/>
        <w:gridCol w:w="3420"/>
      </w:tblGrid>
      <w:tr w:rsidR="00244B27" w:rsidRPr="00E4270D" w14:paraId="553CE638" w14:textId="77777777" w:rsidTr="005D7AAB">
        <w:trPr>
          <w:cantSplit/>
        </w:trPr>
        <w:tc>
          <w:tcPr>
            <w:tcW w:w="1267" w:type="dxa"/>
            <w:gridSpan w:val="2"/>
            <w:shd w:val="clear" w:color="auto" w:fill="FFFFFF"/>
          </w:tcPr>
          <w:p w14:paraId="39A02E9C" w14:textId="77777777" w:rsidR="00244B27" w:rsidRPr="00E4270D" w:rsidRDefault="00244B27" w:rsidP="001132F9">
            <w:pPr>
              <w:autoSpaceDE w:val="0"/>
              <w:autoSpaceDN w:val="0"/>
              <w:adjustRightInd w:val="0"/>
              <w:spacing w:after="0" w:line="240" w:lineRule="auto"/>
              <w:jc w:val="both"/>
              <w:rPr>
                <w:rFonts w:asciiTheme="majorBidi" w:eastAsia="Calibri" w:hAnsiTheme="majorBidi" w:cstheme="majorBidi"/>
                <w:sz w:val="20"/>
                <w:szCs w:val="20"/>
              </w:rPr>
            </w:pPr>
          </w:p>
        </w:tc>
        <w:tc>
          <w:tcPr>
            <w:tcW w:w="1010" w:type="dxa"/>
            <w:shd w:val="clear" w:color="auto" w:fill="FFFFFF"/>
          </w:tcPr>
          <w:p w14:paraId="5128FC93" w14:textId="77777777" w:rsidR="00244B27" w:rsidRPr="00295A95"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Mean</w:t>
            </w:r>
          </w:p>
        </w:tc>
        <w:tc>
          <w:tcPr>
            <w:tcW w:w="1010" w:type="dxa"/>
            <w:shd w:val="clear" w:color="auto" w:fill="FFFFFF"/>
          </w:tcPr>
          <w:p w14:paraId="2C6E6E71" w14:textId="77777777" w:rsidR="00244B27" w:rsidRPr="00295A95"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N</w:t>
            </w:r>
          </w:p>
        </w:tc>
        <w:tc>
          <w:tcPr>
            <w:tcW w:w="1423" w:type="dxa"/>
            <w:shd w:val="clear" w:color="auto" w:fill="FFFFFF"/>
          </w:tcPr>
          <w:p w14:paraId="238FB321" w14:textId="77777777" w:rsidR="00244B27" w:rsidRPr="00295A95"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t</w:t>
            </w:r>
          </w:p>
        </w:tc>
        <w:tc>
          <w:tcPr>
            <w:tcW w:w="1230" w:type="dxa"/>
            <w:shd w:val="clear" w:color="auto" w:fill="FFFFFF"/>
          </w:tcPr>
          <w:p w14:paraId="5AD7B6CE" w14:textId="7306986A" w:rsidR="00244B27" w:rsidRPr="00295A95" w:rsidRDefault="00295A95" w:rsidP="005D7AAB">
            <w:pPr>
              <w:autoSpaceDE w:val="0"/>
              <w:autoSpaceDN w:val="0"/>
              <w:adjustRightInd w:val="0"/>
              <w:spacing w:after="0" w:line="240" w:lineRule="auto"/>
              <w:ind w:left="60" w:right="60"/>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DF</w:t>
            </w:r>
          </w:p>
        </w:tc>
        <w:tc>
          <w:tcPr>
            <w:tcW w:w="3420" w:type="dxa"/>
            <w:shd w:val="clear" w:color="auto" w:fill="FFFFFF"/>
          </w:tcPr>
          <w:p w14:paraId="208CD10F" w14:textId="77777777" w:rsidR="00244B27" w:rsidRPr="00295A95" w:rsidRDefault="00244B27" w:rsidP="005D7AAB">
            <w:pPr>
              <w:autoSpaceDE w:val="0"/>
              <w:autoSpaceDN w:val="0"/>
              <w:adjustRightInd w:val="0"/>
              <w:spacing w:after="0" w:line="240" w:lineRule="auto"/>
              <w:ind w:right="60"/>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Sig. (2-tailed)</w:t>
            </w:r>
            <w:r w:rsidR="005D7AAB" w:rsidRPr="00295A95">
              <w:rPr>
                <w:rFonts w:asciiTheme="majorBidi" w:hAnsiTheme="majorBidi" w:cstheme="majorBidi"/>
                <w:color w:val="000000"/>
                <w:sz w:val="20"/>
                <w:szCs w:val="20"/>
              </w:rPr>
              <w:t xml:space="preserve">      </w:t>
            </w:r>
            <w:r w:rsidR="005D7AAB" w:rsidRPr="00295A95">
              <w:rPr>
                <w:rFonts w:asciiTheme="majorBidi" w:eastAsia="Calibri" w:hAnsiTheme="majorBidi" w:cstheme="majorBidi"/>
                <w:color w:val="000000"/>
                <w:sz w:val="20"/>
                <w:szCs w:val="20"/>
              </w:rPr>
              <w:t>Partial Eta Squared</w:t>
            </w:r>
          </w:p>
        </w:tc>
      </w:tr>
      <w:tr w:rsidR="00244B27" w:rsidRPr="00E4270D" w14:paraId="7123F77D" w14:textId="77777777" w:rsidTr="00EF7C61">
        <w:trPr>
          <w:cantSplit/>
        </w:trPr>
        <w:tc>
          <w:tcPr>
            <w:tcW w:w="43" w:type="dxa"/>
            <w:vMerge w:val="restart"/>
            <w:shd w:val="clear" w:color="auto" w:fill="FFFFFF"/>
            <w:vAlign w:val="center"/>
          </w:tcPr>
          <w:p w14:paraId="1C58CDE9" w14:textId="77777777" w:rsidR="00244B27" w:rsidRPr="00E4270D" w:rsidRDefault="00244B27" w:rsidP="001132F9">
            <w:pPr>
              <w:autoSpaceDE w:val="0"/>
              <w:autoSpaceDN w:val="0"/>
              <w:adjustRightInd w:val="0"/>
              <w:spacing w:after="0" w:line="240" w:lineRule="auto"/>
              <w:ind w:left="60" w:right="60"/>
              <w:jc w:val="both"/>
              <w:rPr>
                <w:rFonts w:asciiTheme="majorBidi" w:eastAsia="Calibri" w:hAnsiTheme="majorBidi" w:cstheme="majorBidi"/>
                <w:color w:val="000000"/>
                <w:sz w:val="20"/>
                <w:szCs w:val="20"/>
              </w:rPr>
            </w:pPr>
          </w:p>
        </w:tc>
        <w:tc>
          <w:tcPr>
            <w:tcW w:w="1224" w:type="dxa"/>
            <w:shd w:val="clear" w:color="auto" w:fill="FFFFFF"/>
            <w:vAlign w:val="center"/>
          </w:tcPr>
          <w:p w14:paraId="15E015C6" w14:textId="77777777" w:rsidR="00244B27" w:rsidRPr="00E4270D"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CG Pretest</w:t>
            </w:r>
          </w:p>
        </w:tc>
        <w:tc>
          <w:tcPr>
            <w:tcW w:w="1010" w:type="dxa"/>
            <w:shd w:val="clear" w:color="auto" w:fill="FFFFFF"/>
          </w:tcPr>
          <w:p w14:paraId="50B01443" w14:textId="77777777" w:rsidR="00244B27" w:rsidRPr="00295A95"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4.30</w:t>
            </w:r>
          </w:p>
        </w:tc>
        <w:tc>
          <w:tcPr>
            <w:tcW w:w="1010" w:type="dxa"/>
            <w:shd w:val="clear" w:color="auto" w:fill="FFFFFF"/>
          </w:tcPr>
          <w:p w14:paraId="0E06252F" w14:textId="77777777" w:rsidR="00244B27" w:rsidRPr="00295A95"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36</w:t>
            </w:r>
          </w:p>
        </w:tc>
        <w:tc>
          <w:tcPr>
            <w:tcW w:w="1423" w:type="dxa"/>
            <w:vMerge w:val="restart"/>
            <w:shd w:val="clear" w:color="auto" w:fill="FFFFFF"/>
          </w:tcPr>
          <w:p w14:paraId="1CCD438F" w14:textId="77777777" w:rsidR="00244B27" w:rsidRPr="00295A95"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-9.27</w:t>
            </w:r>
          </w:p>
        </w:tc>
        <w:tc>
          <w:tcPr>
            <w:tcW w:w="1230" w:type="dxa"/>
            <w:vMerge w:val="restart"/>
            <w:shd w:val="clear" w:color="auto" w:fill="FFFFFF"/>
          </w:tcPr>
          <w:p w14:paraId="09A5835E" w14:textId="77777777" w:rsidR="00244B27" w:rsidRPr="00295A95" w:rsidRDefault="00244B27" w:rsidP="005D7AAB">
            <w:pPr>
              <w:autoSpaceDE w:val="0"/>
              <w:autoSpaceDN w:val="0"/>
              <w:adjustRightInd w:val="0"/>
              <w:spacing w:after="0" w:line="240" w:lineRule="auto"/>
              <w:ind w:left="60" w:right="60"/>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35</w:t>
            </w:r>
          </w:p>
        </w:tc>
        <w:tc>
          <w:tcPr>
            <w:tcW w:w="3420" w:type="dxa"/>
            <w:vMerge w:val="restart"/>
            <w:shd w:val="clear" w:color="auto" w:fill="FFFFFF"/>
          </w:tcPr>
          <w:p w14:paraId="2DAD6C64" w14:textId="77777777" w:rsidR="00244B27" w:rsidRPr="00295A95" w:rsidRDefault="005D7AAB" w:rsidP="005D7AAB">
            <w:pPr>
              <w:autoSpaceDE w:val="0"/>
              <w:autoSpaceDN w:val="0"/>
              <w:adjustRightInd w:val="0"/>
              <w:spacing w:after="0" w:line="240" w:lineRule="auto"/>
              <w:ind w:left="60" w:right="60"/>
              <w:rPr>
                <w:rFonts w:asciiTheme="majorBidi" w:eastAsia="Calibri" w:hAnsiTheme="majorBidi" w:cstheme="majorBidi"/>
                <w:color w:val="000000"/>
                <w:sz w:val="20"/>
                <w:szCs w:val="20"/>
              </w:rPr>
            </w:pPr>
            <w:r w:rsidRPr="00295A95">
              <w:rPr>
                <w:rFonts w:asciiTheme="majorBidi" w:eastAsia="Calibri" w:hAnsiTheme="majorBidi" w:cstheme="majorBidi"/>
                <w:color w:val="000000"/>
                <w:sz w:val="20"/>
                <w:szCs w:val="20"/>
              </w:rPr>
              <w:t xml:space="preserve">    </w:t>
            </w:r>
            <w:r w:rsidR="00244B27" w:rsidRPr="00295A95">
              <w:rPr>
                <w:rFonts w:asciiTheme="majorBidi" w:eastAsia="Calibri" w:hAnsiTheme="majorBidi" w:cstheme="majorBidi"/>
                <w:color w:val="000000"/>
                <w:sz w:val="20"/>
                <w:szCs w:val="20"/>
              </w:rPr>
              <w:t>.00</w:t>
            </w:r>
            <w:r w:rsidR="00EF7C61" w:rsidRPr="00295A95">
              <w:rPr>
                <w:rFonts w:asciiTheme="majorBidi" w:eastAsia="Calibri" w:hAnsiTheme="majorBidi" w:cstheme="majorBidi"/>
                <w:color w:val="000000"/>
                <w:sz w:val="20"/>
                <w:szCs w:val="20"/>
              </w:rPr>
              <w:t xml:space="preserve">                             .71</w:t>
            </w:r>
          </w:p>
        </w:tc>
      </w:tr>
      <w:tr w:rsidR="00244B27" w:rsidRPr="00E4270D" w14:paraId="1FFB69C0" w14:textId="77777777" w:rsidTr="00EF7C61">
        <w:trPr>
          <w:cantSplit/>
        </w:trPr>
        <w:tc>
          <w:tcPr>
            <w:tcW w:w="43" w:type="dxa"/>
            <w:vMerge/>
            <w:shd w:val="clear" w:color="auto" w:fill="FFFFFF"/>
            <w:vAlign w:val="center"/>
          </w:tcPr>
          <w:p w14:paraId="0BDA7B56" w14:textId="77777777" w:rsidR="00244B27" w:rsidRPr="00E4270D" w:rsidRDefault="00244B27" w:rsidP="001132F9">
            <w:pPr>
              <w:autoSpaceDE w:val="0"/>
              <w:autoSpaceDN w:val="0"/>
              <w:adjustRightInd w:val="0"/>
              <w:spacing w:after="0" w:line="240" w:lineRule="auto"/>
              <w:jc w:val="both"/>
              <w:rPr>
                <w:rFonts w:asciiTheme="majorBidi" w:eastAsia="Calibri" w:hAnsiTheme="majorBidi" w:cstheme="majorBidi"/>
                <w:color w:val="000000"/>
                <w:sz w:val="20"/>
                <w:szCs w:val="20"/>
              </w:rPr>
            </w:pPr>
          </w:p>
        </w:tc>
        <w:tc>
          <w:tcPr>
            <w:tcW w:w="1224" w:type="dxa"/>
            <w:shd w:val="clear" w:color="auto" w:fill="FFFFFF"/>
            <w:vAlign w:val="center"/>
          </w:tcPr>
          <w:p w14:paraId="57BA4EB5" w14:textId="77777777" w:rsidR="00244B27" w:rsidRPr="00E4270D"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CG Posttest</w:t>
            </w:r>
          </w:p>
        </w:tc>
        <w:tc>
          <w:tcPr>
            <w:tcW w:w="1010" w:type="dxa"/>
            <w:shd w:val="clear" w:color="auto" w:fill="FFFFFF"/>
          </w:tcPr>
          <w:p w14:paraId="216A6600" w14:textId="77777777" w:rsidR="00244B27" w:rsidRPr="00E4270D"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5.34</w:t>
            </w:r>
          </w:p>
        </w:tc>
        <w:tc>
          <w:tcPr>
            <w:tcW w:w="1010" w:type="dxa"/>
            <w:shd w:val="clear" w:color="auto" w:fill="FFFFFF"/>
          </w:tcPr>
          <w:p w14:paraId="09D7C53A" w14:textId="77777777" w:rsidR="00244B27" w:rsidRPr="00E4270D"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36</w:t>
            </w:r>
          </w:p>
        </w:tc>
        <w:tc>
          <w:tcPr>
            <w:tcW w:w="1423" w:type="dxa"/>
            <w:vMerge/>
            <w:shd w:val="clear" w:color="auto" w:fill="FFFFFF"/>
          </w:tcPr>
          <w:p w14:paraId="35B5F087" w14:textId="77777777" w:rsidR="00244B27" w:rsidRPr="00E4270D"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p>
        </w:tc>
        <w:tc>
          <w:tcPr>
            <w:tcW w:w="1230" w:type="dxa"/>
            <w:vMerge/>
            <w:shd w:val="clear" w:color="auto" w:fill="FFFFFF"/>
          </w:tcPr>
          <w:p w14:paraId="1FD93633" w14:textId="77777777" w:rsidR="00244B27" w:rsidRPr="00E4270D"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p>
        </w:tc>
        <w:tc>
          <w:tcPr>
            <w:tcW w:w="3420" w:type="dxa"/>
            <w:vMerge/>
            <w:shd w:val="clear" w:color="auto" w:fill="FFFFFF"/>
          </w:tcPr>
          <w:p w14:paraId="6B00FD1E" w14:textId="77777777" w:rsidR="00244B27" w:rsidRPr="00E4270D" w:rsidRDefault="00244B2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p>
        </w:tc>
      </w:tr>
    </w:tbl>
    <w:p w14:paraId="0B14BC5A" w14:textId="77777777" w:rsidR="00244B27" w:rsidRPr="005D7AAB" w:rsidRDefault="00244B27" w:rsidP="001132F9">
      <w:pPr>
        <w:autoSpaceDE w:val="0"/>
        <w:autoSpaceDN w:val="0"/>
        <w:adjustRightInd w:val="0"/>
        <w:spacing w:after="0" w:line="240" w:lineRule="auto"/>
        <w:jc w:val="both"/>
        <w:rPr>
          <w:rFonts w:asciiTheme="majorBidi" w:eastAsia="Calibri" w:hAnsiTheme="majorBidi" w:cstheme="majorBidi"/>
          <w:sz w:val="22"/>
        </w:rPr>
      </w:pPr>
    </w:p>
    <w:p w14:paraId="1BADE276" w14:textId="77777777" w:rsidR="008F3EAE" w:rsidRPr="007E5185" w:rsidRDefault="008F3EAE" w:rsidP="00E4270D">
      <w:pPr>
        <w:spacing w:after="120" w:line="240" w:lineRule="auto"/>
        <w:ind w:left="115" w:right="72"/>
        <w:jc w:val="both"/>
        <w:rPr>
          <w:rFonts w:asciiTheme="majorBidi" w:hAnsiTheme="majorBidi" w:cstheme="majorBidi"/>
          <w:sz w:val="22"/>
        </w:rPr>
      </w:pPr>
      <w:r w:rsidRPr="00776794">
        <w:rPr>
          <w:rFonts w:asciiTheme="majorBidi" w:hAnsiTheme="majorBidi" w:cstheme="majorBidi"/>
          <w:sz w:val="22"/>
        </w:rPr>
        <w:t xml:space="preserve">Tables </w:t>
      </w:r>
      <w:r w:rsidR="00351DE4">
        <w:rPr>
          <w:rFonts w:asciiTheme="majorBidi" w:hAnsiTheme="majorBidi" w:cstheme="majorBidi"/>
          <w:sz w:val="22"/>
        </w:rPr>
        <w:t>4</w:t>
      </w:r>
      <w:r w:rsidRPr="00776794">
        <w:rPr>
          <w:rFonts w:asciiTheme="majorBidi" w:hAnsiTheme="majorBidi" w:cstheme="majorBidi"/>
          <w:sz w:val="22"/>
        </w:rPr>
        <w:t xml:space="preserve"> show</w:t>
      </w:r>
      <w:r w:rsidR="00AF40B7" w:rsidRPr="00776794">
        <w:rPr>
          <w:rFonts w:asciiTheme="majorBidi" w:hAnsiTheme="majorBidi" w:cstheme="majorBidi"/>
          <w:sz w:val="22"/>
        </w:rPr>
        <w:t>s</w:t>
      </w:r>
      <w:r w:rsidRPr="00776794">
        <w:rPr>
          <w:rFonts w:asciiTheme="majorBidi" w:hAnsiTheme="majorBidi" w:cstheme="majorBidi"/>
          <w:sz w:val="22"/>
        </w:rPr>
        <w:t xml:space="preserve"> the results of one-way ANCOVA, comparing the pos</w:t>
      </w:r>
      <w:r w:rsidR="008233C1" w:rsidRPr="00776794">
        <w:rPr>
          <w:rFonts w:asciiTheme="majorBidi" w:hAnsiTheme="majorBidi" w:cstheme="majorBidi"/>
          <w:sz w:val="22"/>
        </w:rPr>
        <w:t>ttest scores of the EG</w:t>
      </w:r>
      <w:r w:rsidR="00351DE4">
        <w:rPr>
          <w:rFonts w:asciiTheme="majorBidi" w:hAnsiTheme="majorBidi" w:cstheme="majorBidi"/>
          <w:sz w:val="22"/>
        </w:rPr>
        <w:t>s</w:t>
      </w:r>
      <w:r w:rsidR="008233C1" w:rsidRPr="00776794">
        <w:rPr>
          <w:rFonts w:asciiTheme="majorBidi" w:hAnsiTheme="majorBidi" w:cstheme="majorBidi"/>
          <w:sz w:val="22"/>
        </w:rPr>
        <w:t xml:space="preserve"> and CG</w:t>
      </w:r>
      <w:r w:rsidR="00351DE4">
        <w:rPr>
          <w:rFonts w:asciiTheme="majorBidi" w:hAnsiTheme="majorBidi" w:cstheme="majorBidi"/>
          <w:sz w:val="22"/>
        </w:rPr>
        <w:t>s</w:t>
      </w:r>
      <w:r w:rsidR="008233C1" w:rsidRPr="00776794">
        <w:rPr>
          <w:rFonts w:asciiTheme="majorBidi" w:hAnsiTheme="majorBidi" w:cstheme="majorBidi"/>
          <w:sz w:val="22"/>
        </w:rPr>
        <w:t>:</w:t>
      </w:r>
    </w:p>
    <w:p w14:paraId="34A50463" w14:textId="77777777" w:rsidR="00AF40B7" w:rsidRPr="00295A95" w:rsidRDefault="00AF40B7"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351DE4" w:rsidRPr="00295A95">
        <w:rPr>
          <w:rFonts w:asciiTheme="majorBidi" w:eastAsia="Times New Roman" w:hAnsiTheme="majorBidi" w:cstheme="majorBidi"/>
          <w:sz w:val="20"/>
          <w:szCs w:val="20"/>
        </w:rPr>
        <w:t>4</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 xml:space="preserve">One-Way ANCOVA Results for the Posttest of the EG and CG </w:t>
      </w:r>
    </w:p>
    <w:tbl>
      <w:tblPr>
        <w:tblW w:w="9360"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903"/>
        <w:gridCol w:w="1009"/>
        <w:gridCol w:w="1423"/>
        <w:gridCol w:w="1009"/>
        <w:gridCol w:w="1009"/>
        <w:gridCol w:w="1009"/>
        <w:gridCol w:w="2998"/>
      </w:tblGrid>
      <w:tr w:rsidR="00AF40B7" w:rsidRPr="00E4270D" w14:paraId="1BEBC43A" w14:textId="77777777" w:rsidTr="00E4270D">
        <w:trPr>
          <w:cantSplit/>
          <w:jc w:val="center"/>
        </w:trPr>
        <w:tc>
          <w:tcPr>
            <w:tcW w:w="903" w:type="dxa"/>
            <w:shd w:val="clear" w:color="auto" w:fill="FFFFFF"/>
          </w:tcPr>
          <w:p w14:paraId="39A6192A" w14:textId="77777777" w:rsidR="00AF40B7" w:rsidRPr="00E4270D" w:rsidRDefault="00AF40B7" w:rsidP="001132F9">
            <w:pPr>
              <w:autoSpaceDE w:val="0"/>
              <w:autoSpaceDN w:val="0"/>
              <w:adjustRightInd w:val="0"/>
              <w:spacing w:after="0" w:line="240" w:lineRule="auto"/>
              <w:ind w:left="60" w:right="60"/>
              <w:jc w:val="both"/>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Groups</w:t>
            </w:r>
          </w:p>
        </w:tc>
        <w:tc>
          <w:tcPr>
            <w:tcW w:w="1009" w:type="dxa"/>
            <w:shd w:val="clear" w:color="auto" w:fill="FFFFFF"/>
          </w:tcPr>
          <w:p w14:paraId="342039E0" w14:textId="77777777" w:rsidR="00AF40B7" w:rsidRPr="00295A95" w:rsidRDefault="00AF40B7" w:rsidP="001132F9">
            <w:pPr>
              <w:autoSpaceDE w:val="0"/>
              <w:autoSpaceDN w:val="0"/>
              <w:adjustRightInd w:val="0"/>
              <w:spacing w:after="0" w:line="240" w:lineRule="auto"/>
              <w:ind w:left="60" w:right="60"/>
              <w:jc w:val="center"/>
              <w:rPr>
                <w:rFonts w:asciiTheme="majorBidi" w:eastAsia="Calibri" w:hAnsiTheme="majorBidi" w:cstheme="majorBidi"/>
                <w:i/>
                <w:iCs/>
                <w:color w:val="000000"/>
                <w:sz w:val="20"/>
                <w:szCs w:val="20"/>
              </w:rPr>
            </w:pPr>
            <w:r w:rsidRPr="00295A95">
              <w:rPr>
                <w:rFonts w:asciiTheme="majorBidi" w:eastAsia="Calibri" w:hAnsiTheme="majorBidi" w:cstheme="majorBidi"/>
                <w:i/>
                <w:iCs/>
                <w:color w:val="000000"/>
                <w:sz w:val="20"/>
                <w:szCs w:val="20"/>
              </w:rPr>
              <w:t>Mean</w:t>
            </w:r>
          </w:p>
        </w:tc>
        <w:tc>
          <w:tcPr>
            <w:tcW w:w="1423" w:type="dxa"/>
            <w:shd w:val="clear" w:color="auto" w:fill="FFFFFF"/>
          </w:tcPr>
          <w:p w14:paraId="53590324" w14:textId="77777777" w:rsidR="00AF40B7" w:rsidRPr="00295A95" w:rsidRDefault="00AF40B7" w:rsidP="001132F9">
            <w:pPr>
              <w:autoSpaceDE w:val="0"/>
              <w:autoSpaceDN w:val="0"/>
              <w:adjustRightInd w:val="0"/>
              <w:spacing w:after="0" w:line="240" w:lineRule="auto"/>
              <w:ind w:left="60" w:right="60"/>
              <w:jc w:val="center"/>
              <w:rPr>
                <w:rFonts w:asciiTheme="majorBidi" w:eastAsia="Calibri" w:hAnsiTheme="majorBidi" w:cstheme="majorBidi"/>
                <w:i/>
                <w:iCs/>
                <w:color w:val="000000"/>
                <w:sz w:val="20"/>
                <w:szCs w:val="20"/>
              </w:rPr>
            </w:pPr>
            <w:r w:rsidRPr="00295A95">
              <w:rPr>
                <w:rFonts w:asciiTheme="majorBidi" w:eastAsia="Calibri" w:hAnsiTheme="majorBidi" w:cstheme="majorBidi"/>
                <w:i/>
                <w:iCs/>
                <w:color w:val="000000"/>
                <w:sz w:val="20"/>
                <w:szCs w:val="20"/>
              </w:rPr>
              <w:t>Std. Deviation</w:t>
            </w:r>
          </w:p>
        </w:tc>
        <w:tc>
          <w:tcPr>
            <w:tcW w:w="1009" w:type="dxa"/>
            <w:shd w:val="clear" w:color="auto" w:fill="FFFFFF"/>
          </w:tcPr>
          <w:p w14:paraId="18DA61D5" w14:textId="77777777" w:rsidR="00AF40B7" w:rsidRPr="00295A95" w:rsidRDefault="00AF40B7" w:rsidP="001132F9">
            <w:pPr>
              <w:autoSpaceDE w:val="0"/>
              <w:autoSpaceDN w:val="0"/>
              <w:adjustRightInd w:val="0"/>
              <w:spacing w:after="0" w:line="240" w:lineRule="auto"/>
              <w:ind w:left="60" w:right="60"/>
              <w:jc w:val="center"/>
              <w:rPr>
                <w:rFonts w:asciiTheme="majorBidi" w:eastAsia="Calibri" w:hAnsiTheme="majorBidi" w:cstheme="majorBidi"/>
                <w:i/>
                <w:iCs/>
                <w:color w:val="000000"/>
                <w:sz w:val="20"/>
                <w:szCs w:val="20"/>
              </w:rPr>
            </w:pPr>
            <w:r w:rsidRPr="00295A95">
              <w:rPr>
                <w:rFonts w:asciiTheme="majorBidi" w:eastAsia="Calibri" w:hAnsiTheme="majorBidi" w:cstheme="majorBidi"/>
                <w:i/>
                <w:iCs/>
                <w:color w:val="000000"/>
                <w:sz w:val="20"/>
                <w:szCs w:val="20"/>
              </w:rPr>
              <w:t>N</w:t>
            </w:r>
          </w:p>
        </w:tc>
        <w:tc>
          <w:tcPr>
            <w:tcW w:w="1009" w:type="dxa"/>
            <w:shd w:val="clear" w:color="auto" w:fill="FFFFFF"/>
          </w:tcPr>
          <w:p w14:paraId="0CE7F57C" w14:textId="77777777" w:rsidR="00AF40B7" w:rsidRPr="00295A95" w:rsidRDefault="00776794" w:rsidP="001132F9">
            <w:pPr>
              <w:autoSpaceDE w:val="0"/>
              <w:autoSpaceDN w:val="0"/>
              <w:adjustRightInd w:val="0"/>
              <w:spacing w:after="0" w:line="240" w:lineRule="auto"/>
              <w:ind w:left="60" w:right="60"/>
              <w:jc w:val="center"/>
              <w:rPr>
                <w:rFonts w:asciiTheme="majorBidi" w:eastAsia="Calibri" w:hAnsiTheme="majorBidi" w:cstheme="majorBidi"/>
                <w:i/>
                <w:iCs/>
                <w:color w:val="000000"/>
                <w:sz w:val="20"/>
                <w:szCs w:val="20"/>
              </w:rPr>
            </w:pPr>
            <w:r w:rsidRPr="00295A95">
              <w:rPr>
                <w:rFonts w:asciiTheme="majorBidi" w:eastAsia="Calibri" w:hAnsiTheme="majorBidi" w:cstheme="majorBidi"/>
                <w:i/>
                <w:iCs/>
                <w:color w:val="000000"/>
                <w:sz w:val="20"/>
                <w:szCs w:val="20"/>
              </w:rPr>
              <w:t xml:space="preserve"> </w:t>
            </w:r>
            <w:r w:rsidR="00AF40B7" w:rsidRPr="00295A95">
              <w:rPr>
                <w:rFonts w:asciiTheme="majorBidi" w:eastAsia="Calibri" w:hAnsiTheme="majorBidi" w:cstheme="majorBidi"/>
                <w:i/>
                <w:iCs/>
                <w:color w:val="000000"/>
                <w:sz w:val="20"/>
                <w:szCs w:val="20"/>
              </w:rPr>
              <w:t>F</w:t>
            </w:r>
          </w:p>
        </w:tc>
        <w:tc>
          <w:tcPr>
            <w:tcW w:w="1009" w:type="dxa"/>
            <w:shd w:val="clear" w:color="auto" w:fill="FFFFFF"/>
          </w:tcPr>
          <w:p w14:paraId="39C14600" w14:textId="77777777" w:rsidR="00AF40B7" w:rsidRPr="00295A95" w:rsidRDefault="00776794" w:rsidP="001132F9">
            <w:pPr>
              <w:autoSpaceDE w:val="0"/>
              <w:autoSpaceDN w:val="0"/>
              <w:adjustRightInd w:val="0"/>
              <w:spacing w:after="0" w:line="240" w:lineRule="auto"/>
              <w:ind w:left="60" w:right="60"/>
              <w:jc w:val="center"/>
              <w:rPr>
                <w:rFonts w:asciiTheme="majorBidi" w:eastAsia="Calibri" w:hAnsiTheme="majorBidi" w:cstheme="majorBidi"/>
                <w:i/>
                <w:iCs/>
                <w:color w:val="000000"/>
                <w:sz w:val="20"/>
                <w:szCs w:val="20"/>
              </w:rPr>
            </w:pPr>
            <w:r w:rsidRPr="00295A95">
              <w:rPr>
                <w:rFonts w:asciiTheme="majorBidi" w:eastAsia="Calibri" w:hAnsiTheme="majorBidi" w:cstheme="majorBidi"/>
                <w:i/>
                <w:iCs/>
                <w:color w:val="000000"/>
                <w:sz w:val="20"/>
                <w:szCs w:val="20"/>
              </w:rPr>
              <w:t xml:space="preserve">      </w:t>
            </w:r>
            <w:r w:rsidR="00AF40B7" w:rsidRPr="00295A95">
              <w:rPr>
                <w:rFonts w:asciiTheme="majorBidi" w:eastAsia="Calibri" w:hAnsiTheme="majorBidi" w:cstheme="majorBidi"/>
                <w:i/>
                <w:iCs/>
                <w:color w:val="000000"/>
                <w:sz w:val="20"/>
                <w:szCs w:val="20"/>
              </w:rPr>
              <w:t>Sig.</w:t>
            </w:r>
          </w:p>
        </w:tc>
        <w:tc>
          <w:tcPr>
            <w:tcW w:w="2998" w:type="dxa"/>
            <w:shd w:val="clear" w:color="auto" w:fill="FFFFFF"/>
          </w:tcPr>
          <w:p w14:paraId="46A7516E" w14:textId="77777777" w:rsidR="00AF40B7" w:rsidRPr="00295A95" w:rsidRDefault="00776794" w:rsidP="001132F9">
            <w:pPr>
              <w:autoSpaceDE w:val="0"/>
              <w:autoSpaceDN w:val="0"/>
              <w:adjustRightInd w:val="0"/>
              <w:spacing w:after="0" w:line="240" w:lineRule="auto"/>
              <w:ind w:left="60" w:right="60"/>
              <w:jc w:val="center"/>
              <w:rPr>
                <w:rFonts w:asciiTheme="majorBidi" w:eastAsia="Calibri" w:hAnsiTheme="majorBidi" w:cstheme="majorBidi"/>
                <w:i/>
                <w:iCs/>
                <w:color w:val="000000"/>
                <w:sz w:val="20"/>
                <w:szCs w:val="20"/>
              </w:rPr>
            </w:pPr>
            <w:r w:rsidRPr="00295A95">
              <w:rPr>
                <w:rFonts w:asciiTheme="majorBidi" w:eastAsia="Calibri" w:hAnsiTheme="majorBidi" w:cstheme="majorBidi"/>
                <w:i/>
                <w:iCs/>
                <w:color w:val="000000"/>
                <w:sz w:val="20"/>
                <w:szCs w:val="20"/>
              </w:rPr>
              <w:t xml:space="preserve">                  </w:t>
            </w:r>
            <w:r w:rsidR="00AF40B7" w:rsidRPr="00295A95">
              <w:rPr>
                <w:rFonts w:asciiTheme="majorBidi" w:eastAsia="Calibri" w:hAnsiTheme="majorBidi" w:cstheme="majorBidi"/>
                <w:i/>
                <w:iCs/>
                <w:color w:val="000000"/>
                <w:sz w:val="20"/>
                <w:szCs w:val="20"/>
              </w:rPr>
              <w:t>Partial Eta Squared</w:t>
            </w:r>
          </w:p>
        </w:tc>
      </w:tr>
      <w:tr w:rsidR="00AF40B7" w:rsidRPr="00E4270D" w14:paraId="4B6FEDEA" w14:textId="77777777" w:rsidTr="00E4270D">
        <w:trPr>
          <w:cantSplit/>
          <w:jc w:val="center"/>
        </w:trPr>
        <w:tc>
          <w:tcPr>
            <w:tcW w:w="903" w:type="dxa"/>
            <w:shd w:val="clear" w:color="auto" w:fill="FFFFFF"/>
            <w:vAlign w:val="center"/>
          </w:tcPr>
          <w:p w14:paraId="3ED3A1B0" w14:textId="77777777" w:rsidR="00AF40B7" w:rsidRPr="00E4270D" w:rsidRDefault="00AF40B7" w:rsidP="001132F9">
            <w:pPr>
              <w:autoSpaceDE w:val="0"/>
              <w:autoSpaceDN w:val="0"/>
              <w:adjustRightInd w:val="0"/>
              <w:spacing w:after="0" w:line="240" w:lineRule="auto"/>
              <w:ind w:left="60" w:right="60"/>
              <w:jc w:val="both"/>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EG</w:t>
            </w:r>
          </w:p>
        </w:tc>
        <w:tc>
          <w:tcPr>
            <w:tcW w:w="1009" w:type="dxa"/>
            <w:shd w:val="clear" w:color="auto" w:fill="FFFFFF"/>
          </w:tcPr>
          <w:p w14:paraId="57EEB4C1"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5.45</w:t>
            </w:r>
          </w:p>
        </w:tc>
        <w:tc>
          <w:tcPr>
            <w:tcW w:w="1423" w:type="dxa"/>
            <w:shd w:val="clear" w:color="auto" w:fill="FFFFFF"/>
          </w:tcPr>
          <w:p w14:paraId="7B992574"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1.05</w:t>
            </w:r>
          </w:p>
        </w:tc>
        <w:tc>
          <w:tcPr>
            <w:tcW w:w="1009" w:type="dxa"/>
            <w:shd w:val="clear" w:color="auto" w:fill="FFFFFF"/>
          </w:tcPr>
          <w:p w14:paraId="3D3ECF13"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36</w:t>
            </w:r>
          </w:p>
        </w:tc>
        <w:tc>
          <w:tcPr>
            <w:tcW w:w="1009" w:type="dxa"/>
            <w:vMerge w:val="restart"/>
            <w:shd w:val="clear" w:color="auto" w:fill="FFFFFF"/>
          </w:tcPr>
          <w:p w14:paraId="2D9AD02A" w14:textId="77777777" w:rsidR="00AF40B7" w:rsidRPr="00E4270D" w:rsidRDefault="00776794"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 xml:space="preserve"> </w:t>
            </w:r>
            <w:r w:rsidR="00AF40B7" w:rsidRPr="00E4270D">
              <w:rPr>
                <w:rFonts w:asciiTheme="majorBidi" w:eastAsia="Calibri" w:hAnsiTheme="majorBidi" w:cstheme="majorBidi"/>
                <w:color w:val="000000"/>
                <w:sz w:val="20"/>
                <w:szCs w:val="20"/>
              </w:rPr>
              <w:t>1.29</w:t>
            </w:r>
          </w:p>
        </w:tc>
        <w:tc>
          <w:tcPr>
            <w:tcW w:w="1009" w:type="dxa"/>
            <w:vMerge w:val="restart"/>
            <w:shd w:val="clear" w:color="auto" w:fill="FFFFFF"/>
          </w:tcPr>
          <w:p w14:paraId="2730A0F1" w14:textId="77777777" w:rsidR="00AF40B7" w:rsidRPr="00E4270D" w:rsidRDefault="00776794"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 xml:space="preserve">     </w:t>
            </w:r>
            <w:r w:rsidR="00AF40B7" w:rsidRPr="00E4270D">
              <w:rPr>
                <w:rFonts w:asciiTheme="majorBidi" w:eastAsia="Calibri" w:hAnsiTheme="majorBidi" w:cstheme="majorBidi"/>
                <w:color w:val="000000"/>
                <w:sz w:val="20"/>
                <w:szCs w:val="20"/>
              </w:rPr>
              <w:t>.25</w:t>
            </w:r>
          </w:p>
        </w:tc>
        <w:tc>
          <w:tcPr>
            <w:tcW w:w="2998" w:type="dxa"/>
            <w:vMerge w:val="restart"/>
            <w:shd w:val="clear" w:color="auto" w:fill="FFFFFF"/>
          </w:tcPr>
          <w:p w14:paraId="0F9B148C" w14:textId="77777777" w:rsidR="00AF40B7" w:rsidRPr="00E4270D" w:rsidRDefault="00776794"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 xml:space="preserve">             </w:t>
            </w:r>
            <w:r w:rsidR="00AF40B7" w:rsidRPr="00E4270D">
              <w:rPr>
                <w:rFonts w:asciiTheme="majorBidi" w:eastAsia="Calibri" w:hAnsiTheme="majorBidi" w:cstheme="majorBidi"/>
                <w:color w:val="000000"/>
                <w:sz w:val="20"/>
                <w:szCs w:val="20"/>
              </w:rPr>
              <w:t>.01</w:t>
            </w:r>
          </w:p>
        </w:tc>
      </w:tr>
      <w:tr w:rsidR="00AF40B7" w:rsidRPr="00E4270D" w14:paraId="6067C670" w14:textId="77777777" w:rsidTr="00E4270D">
        <w:trPr>
          <w:cantSplit/>
          <w:jc w:val="center"/>
        </w:trPr>
        <w:tc>
          <w:tcPr>
            <w:tcW w:w="903" w:type="dxa"/>
            <w:shd w:val="clear" w:color="auto" w:fill="FFFFFF"/>
            <w:vAlign w:val="center"/>
          </w:tcPr>
          <w:p w14:paraId="2007068C" w14:textId="77777777" w:rsidR="00AF40B7" w:rsidRPr="00E4270D" w:rsidRDefault="00AF40B7" w:rsidP="001132F9">
            <w:pPr>
              <w:autoSpaceDE w:val="0"/>
              <w:autoSpaceDN w:val="0"/>
              <w:adjustRightInd w:val="0"/>
              <w:spacing w:after="0" w:line="240" w:lineRule="auto"/>
              <w:ind w:left="60" w:right="60"/>
              <w:jc w:val="both"/>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CG</w:t>
            </w:r>
          </w:p>
        </w:tc>
        <w:tc>
          <w:tcPr>
            <w:tcW w:w="1009" w:type="dxa"/>
            <w:shd w:val="clear" w:color="auto" w:fill="FFFFFF"/>
          </w:tcPr>
          <w:p w14:paraId="4892E8D9"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5.34</w:t>
            </w:r>
          </w:p>
        </w:tc>
        <w:tc>
          <w:tcPr>
            <w:tcW w:w="1423" w:type="dxa"/>
            <w:shd w:val="clear" w:color="auto" w:fill="FFFFFF"/>
          </w:tcPr>
          <w:p w14:paraId="46FBAB51"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.90</w:t>
            </w:r>
          </w:p>
        </w:tc>
        <w:tc>
          <w:tcPr>
            <w:tcW w:w="1009" w:type="dxa"/>
            <w:shd w:val="clear" w:color="auto" w:fill="FFFFFF"/>
          </w:tcPr>
          <w:p w14:paraId="3FE81E23"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r w:rsidRPr="00E4270D">
              <w:rPr>
                <w:rFonts w:asciiTheme="majorBidi" w:eastAsia="Calibri" w:hAnsiTheme="majorBidi" w:cstheme="majorBidi"/>
                <w:color w:val="000000"/>
                <w:sz w:val="20"/>
                <w:szCs w:val="20"/>
              </w:rPr>
              <w:t>36</w:t>
            </w:r>
          </w:p>
        </w:tc>
        <w:tc>
          <w:tcPr>
            <w:tcW w:w="1009" w:type="dxa"/>
            <w:vMerge/>
            <w:shd w:val="clear" w:color="auto" w:fill="FFFFFF"/>
          </w:tcPr>
          <w:p w14:paraId="46D90B24"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p>
        </w:tc>
        <w:tc>
          <w:tcPr>
            <w:tcW w:w="1009" w:type="dxa"/>
            <w:vMerge/>
            <w:shd w:val="clear" w:color="auto" w:fill="FFFFFF"/>
          </w:tcPr>
          <w:p w14:paraId="0F8D4989"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p>
        </w:tc>
        <w:tc>
          <w:tcPr>
            <w:tcW w:w="2998" w:type="dxa"/>
            <w:vMerge/>
            <w:shd w:val="clear" w:color="auto" w:fill="FFFFFF"/>
          </w:tcPr>
          <w:p w14:paraId="3A4ABE00" w14:textId="77777777" w:rsidR="00AF40B7" w:rsidRPr="00E4270D" w:rsidRDefault="00AF40B7" w:rsidP="001132F9">
            <w:pPr>
              <w:autoSpaceDE w:val="0"/>
              <w:autoSpaceDN w:val="0"/>
              <w:adjustRightInd w:val="0"/>
              <w:spacing w:after="0" w:line="240" w:lineRule="auto"/>
              <w:ind w:left="60" w:right="60"/>
              <w:jc w:val="center"/>
              <w:rPr>
                <w:rFonts w:asciiTheme="majorBidi" w:eastAsia="Calibri" w:hAnsiTheme="majorBidi" w:cstheme="majorBidi"/>
                <w:color w:val="000000"/>
                <w:sz w:val="20"/>
                <w:szCs w:val="20"/>
              </w:rPr>
            </w:pPr>
          </w:p>
        </w:tc>
      </w:tr>
    </w:tbl>
    <w:p w14:paraId="0834989F" w14:textId="77777777" w:rsidR="008F3EAE" w:rsidRPr="007E5185" w:rsidRDefault="008F3EAE" w:rsidP="001132F9">
      <w:pPr>
        <w:autoSpaceDE w:val="0"/>
        <w:autoSpaceDN w:val="0"/>
        <w:adjustRightInd w:val="0"/>
        <w:spacing w:after="0" w:line="240" w:lineRule="auto"/>
        <w:jc w:val="both"/>
        <w:rPr>
          <w:rFonts w:asciiTheme="majorBidi" w:hAnsiTheme="majorBidi" w:cstheme="majorBidi"/>
          <w:sz w:val="22"/>
        </w:rPr>
      </w:pPr>
    </w:p>
    <w:p w14:paraId="64CFCEBF" w14:textId="77777777" w:rsidR="008F3EAE" w:rsidRPr="007E5185" w:rsidRDefault="008F3EAE" w:rsidP="00684DCB">
      <w:pPr>
        <w:autoSpaceDE w:val="0"/>
        <w:autoSpaceDN w:val="0"/>
        <w:adjustRightInd w:val="0"/>
        <w:spacing w:after="120" w:line="240" w:lineRule="auto"/>
        <w:ind w:left="115" w:right="72"/>
        <w:jc w:val="both"/>
        <w:rPr>
          <w:rFonts w:asciiTheme="majorBidi" w:hAnsiTheme="majorBidi" w:cstheme="majorBidi"/>
          <w:sz w:val="22"/>
        </w:rPr>
      </w:pPr>
      <w:r w:rsidRPr="007E5185">
        <w:rPr>
          <w:rFonts w:asciiTheme="majorBidi" w:hAnsiTheme="majorBidi" w:cstheme="majorBidi"/>
          <w:sz w:val="22"/>
        </w:rPr>
        <w:t xml:space="preserve">The </w:t>
      </w:r>
      <w:r w:rsidRPr="007E5185">
        <w:rPr>
          <w:rFonts w:asciiTheme="majorBidi" w:hAnsiTheme="majorBidi" w:cstheme="majorBidi"/>
          <w:i/>
          <w:iCs/>
          <w:sz w:val="22"/>
        </w:rPr>
        <w:t xml:space="preserve">p </w:t>
      </w:r>
      <w:r w:rsidRPr="007E5185">
        <w:rPr>
          <w:rFonts w:asciiTheme="majorBidi" w:hAnsiTheme="majorBidi" w:cstheme="majorBidi"/>
          <w:sz w:val="22"/>
        </w:rPr>
        <w:t xml:space="preserve">value in the ANCOVA table (under the </w:t>
      </w:r>
      <w:r w:rsidRPr="007E5185">
        <w:rPr>
          <w:rFonts w:asciiTheme="majorBidi" w:hAnsiTheme="majorBidi" w:cstheme="majorBidi"/>
          <w:i/>
          <w:iCs/>
          <w:sz w:val="22"/>
        </w:rPr>
        <w:t xml:space="preserve">Sig. </w:t>
      </w:r>
      <w:r w:rsidRPr="007E5185">
        <w:rPr>
          <w:rFonts w:asciiTheme="majorBidi" w:hAnsiTheme="majorBidi" w:cstheme="majorBidi"/>
          <w:sz w:val="22"/>
        </w:rPr>
        <w:t>column) was found to be greater than the significance le</w:t>
      </w:r>
      <w:r w:rsidR="00902EA5" w:rsidRPr="007E5185">
        <w:rPr>
          <w:rFonts w:asciiTheme="majorBidi" w:hAnsiTheme="majorBidi" w:cstheme="majorBidi"/>
          <w:sz w:val="22"/>
        </w:rPr>
        <w:t>vel (.25 &gt; .05), which indicated</w:t>
      </w:r>
      <w:r w:rsidRPr="007E5185">
        <w:rPr>
          <w:rFonts w:asciiTheme="majorBidi" w:hAnsiTheme="majorBidi" w:cstheme="majorBidi"/>
          <w:sz w:val="22"/>
        </w:rPr>
        <w:t xml:space="preserve"> that the difference between the posttest mean scores of </w:t>
      </w:r>
      <w:r w:rsidRPr="007E5185">
        <w:rPr>
          <w:rFonts w:asciiTheme="majorBidi" w:hAnsiTheme="majorBidi" w:cstheme="majorBidi"/>
          <w:sz w:val="22"/>
        </w:rPr>
        <w:lastRenderedPageBreak/>
        <w:t>the EG</w:t>
      </w:r>
      <w:r w:rsidR="00351DE4">
        <w:rPr>
          <w:rFonts w:asciiTheme="majorBidi" w:hAnsiTheme="majorBidi" w:cstheme="majorBidi"/>
          <w:sz w:val="22"/>
        </w:rPr>
        <w:t>s</w:t>
      </w:r>
      <w:r w:rsidRPr="007E5185">
        <w:rPr>
          <w:rFonts w:asciiTheme="majorBidi" w:hAnsiTheme="majorBidi" w:cstheme="majorBidi"/>
          <w:sz w:val="22"/>
        </w:rPr>
        <w:t xml:space="preserve"> and CG</w:t>
      </w:r>
      <w:r w:rsidR="00351DE4">
        <w:rPr>
          <w:rFonts w:asciiTheme="majorBidi" w:hAnsiTheme="majorBidi" w:cstheme="majorBidi"/>
          <w:sz w:val="22"/>
        </w:rPr>
        <w:t>s</w:t>
      </w:r>
      <w:r w:rsidRPr="007E5185">
        <w:rPr>
          <w:rFonts w:asciiTheme="majorBidi" w:hAnsiTheme="majorBidi" w:cstheme="majorBidi"/>
          <w:sz w:val="22"/>
        </w:rPr>
        <w:t xml:space="preserve"> did not reach statistical significance. In fact, as it was mentioned above, both EG</w:t>
      </w:r>
      <w:r w:rsidR="00351DE4">
        <w:rPr>
          <w:rFonts w:asciiTheme="majorBidi" w:hAnsiTheme="majorBidi" w:cstheme="majorBidi"/>
          <w:sz w:val="22"/>
        </w:rPr>
        <w:t>s</w:t>
      </w:r>
      <w:r w:rsidRPr="007E5185">
        <w:rPr>
          <w:rFonts w:asciiTheme="majorBidi" w:hAnsiTheme="majorBidi" w:cstheme="majorBidi"/>
          <w:sz w:val="22"/>
        </w:rPr>
        <w:t xml:space="preserve"> and CG</w:t>
      </w:r>
      <w:r w:rsidR="00351DE4">
        <w:rPr>
          <w:rFonts w:asciiTheme="majorBidi" w:hAnsiTheme="majorBidi" w:cstheme="majorBidi"/>
          <w:sz w:val="22"/>
        </w:rPr>
        <w:t>s</w:t>
      </w:r>
      <w:r w:rsidRPr="007E5185">
        <w:rPr>
          <w:rFonts w:asciiTheme="majorBidi" w:hAnsiTheme="majorBidi" w:cstheme="majorBidi"/>
          <w:sz w:val="22"/>
        </w:rPr>
        <w:t xml:space="preserve"> improved significantly from pretest to posttest, but there was not consid</w:t>
      </w:r>
      <w:r w:rsidR="00351DE4">
        <w:rPr>
          <w:rFonts w:asciiTheme="majorBidi" w:hAnsiTheme="majorBidi" w:cstheme="majorBidi"/>
          <w:sz w:val="22"/>
        </w:rPr>
        <w:t>erable difference between them</w:t>
      </w:r>
      <w:r w:rsidRPr="007E5185">
        <w:rPr>
          <w:rFonts w:asciiTheme="majorBidi" w:hAnsiTheme="majorBidi" w:cstheme="majorBidi"/>
          <w:sz w:val="22"/>
        </w:rPr>
        <w:t xml:space="preserve"> in the end.</w:t>
      </w:r>
    </w:p>
    <w:p w14:paraId="133B5E11" w14:textId="77777777" w:rsidR="008F3EAE" w:rsidRPr="007E5185" w:rsidRDefault="004D6519" w:rsidP="00146C86">
      <w:pPr>
        <w:spacing w:after="120" w:line="240" w:lineRule="auto"/>
        <w:ind w:left="115" w:right="72" w:firstLine="562"/>
        <w:jc w:val="both"/>
        <w:rPr>
          <w:rFonts w:asciiTheme="majorBidi" w:hAnsiTheme="majorBidi" w:cstheme="majorBidi"/>
          <w:sz w:val="22"/>
        </w:rPr>
      </w:pPr>
      <w:r w:rsidRPr="007E5185">
        <w:rPr>
          <w:rFonts w:asciiTheme="majorBidi" w:hAnsiTheme="majorBidi" w:cstheme="majorBidi"/>
          <w:sz w:val="22"/>
        </w:rPr>
        <w:t>To find an answer to the second</w:t>
      </w:r>
      <w:r w:rsidR="008F3EAE" w:rsidRPr="007E5185">
        <w:rPr>
          <w:rFonts w:asciiTheme="majorBidi" w:hAnsiTheme="majorBidi" w:cstheme="majorBidi"/>
          <w:sz w:val="22"/>
        </w:rPr>
        <w:t xml:space="preserve"> research question, first one-way </w:t>
      </w:r>
      <w:r w:rsidR="008F3EAE" w:rsidRPr="00E31D87">
        <w:rPr>
          <w:rFonts w:asciiTheme="majorBidi" w:hAnsiTheme="majorBidi" w:cstheme="majorBidi"/>
          <w:sz w:val="22"/>
        </w:rPr>
        <w:t>ANCOVA was</w:t>
      </w:r>
      <w:r w:rsidR="008F3EAE" w:rsidRPr="007E5185">
        <w:rPr>
          <w:rFonts w:asciiTheme="majorBidi" w:hAnsiTheme="majorBidi" w:cstheme="majorBidi"/>
          <w:sz w:val="22"/>
        </w:rPr>
        <w:t xml:space="preserve"> used to compare the posttest scores of mixed-ability (MA), high ability (HA), and low ability (LA) learners in the EG. Then</w:t>
      </w:r>
      <w:r w:rsidR="001234C5">
        <w:rPr>
          <w:rFonts w:asciiTheme="majorBidi" w:hAnsiTheme="majorBidi" w:cstheme="majorBidi"/>
          <w:sz w:val="22"/>
        </w:rPr>
        <w:t>,</w:t>
      </w:r>
      <w:r w:rsidR="008F3EAE" w:rsidRPr="007E5185">
        <w:rPr>
          <w:rFonts w:asciiTheme="majorBidi" w:hAnsiTheme="majorBidi" w:cstheme="majorBidi"/>
          <w:sz w:val="22"/>
        </w:rPr>
        <w:t xml:space="preserve"> the same statistical test was employed to compare the MA, HA, and LA learners in the CG. Finally, between-group analyses were performed using one-way ANCOVA between the scores o</w:t>
      </w:r>
      <w:r w:rsidR="009725FE" w:rsidRPr="007E5185">
        <w:rPr>
          <w:rFonts w:asciiTheme="majorBidi" w:hAnsiTheme="majorBidi" w:cstheme="majorBidi"/>
          <w:sz w:val="22"/>
        </w:rPr>
        <w:t>f</w:t>
      </w:r>
      <w:r w:rsidR="008F3EAE" w:rsidRPr="007E5185">
        <w:rPr>
          <w:rFonts w:asciiTheme="majorBidi" w:hAnsiTheme="majorBidi" w:cstheme="majorBidi"/>
          <w:sz w:val="22"/>
        </w:rPr>
        <w:t xml:space="preserve"> MA, HA, and LA learners in the experimental and control</w:t>
      </w:r>
      <w:r w:rsidR="00E31D87">
        <w:rPr>
          <w:rFonts w:asciiTheme="majorBidi" w:hAnsiTheme="majorBidi" w:cstheme="majorBidi"/>
          <w:sz w:val="22"/>
        </w:rPr>
        <w:t xml:space="preserve"> groups</w:t>
      </w:r>
      <w:r w:rsidR="008F3EAE" w:rsidRPr="007E5185">
        <w:rPr>
          <w:rFonts w:asciiTheme="majorBidi" w:hAnsiTheme="majorBidi" w:cstheme="majorBidi"/>
          <w:sz w:val="22"/>
        </w:rPr>
        <w:t xml:space="preserve">. </w:t>
      </w:r>
    </w:p>
    <w:p w14:paraId="67945C22" w14:textId="080D8732" w:rsidR="00911267" w:rsidRPr="007E5185" w:rsidRDefault="005004D8" w:rsidP="00146C86">
      <w:pPr>
        <w:autoSpaceDE w:val="0"/>
        <w:autoSpaceDN w:val="0"/>
        <w:adjustRightInd w:val="0"/>
        <w:spacing w:after="120" w:line="240" w:lineRule="auto"/>
        <w:ind w:left="115" w:right="72" w:firstLine="562"/>
        <w:jc w:val="both"/>
        <w:rPr>
          <w:rFonts w:asciiTheme="majorBidi" w:hAnsiTheme="majorBidi" w:cstheme="majorBidi"/>
          <w:sz w:val="22"/>
        </w:rPr>
      </w:pPr>
      <w:r>
        <w:rPr>
          <w:rFonts w:asciiTheme="majorBidi" w:hAnsiTheme="majorBidi" w:cstheme="majorBidi"/>
          <w:sz w:val="22"/>
        </w:rPr>
        <w:t xml:space="preserve">  </w:t>
      </w:r>
      <w:r w:rsidR="008F3EAE" w:rsidRPr="007E5185">
        <w:rPr>
          <w:rFonts w:asciiTheme="majorBidi" w:hAnsiTheme="majorBidi" w:cstheme="majorBidi"/>
          <w:sz w:val="22"/>
        </w:rPr>
        <w:t xml:space="preserve">The results of descriptive statistics comparing the posttest scores of MA, HA, and LA learners in the EG </w:t>
      </w:r>
      <w:r w:rsidR="00911267" w:rsidRPr="007E5185">
        <w:rPr>
          <w:rFonts w:asciiTheme="majorBidi" w:hAnsiTheme="majorBidi" w:cstheme="majorBidi"/>
          <w:sz w:val="22"/>
        </w:rPr>
        <w:t>show</w:t>
      </w:r>
      <w:r w:rsidR="00902EA5" w:rsidRPr="007E5185">
        <w:rPr>
          <w:rFonts w:asciiTheme="majorBidi" w:hAnsiTheme="majorBidi" w:cstheme="majorBidi"/>
          <w:sz w:val="22"/>
        </w:rPr>
        <w:t>ed</w:t>
      </w:r>
      <w:r w:rsidR="00911267" w:rsidRPr="007E5185">
        <w:rPr>
          <w:rFonts w:asciiTheme="majorBidi" w:hAnsiTheme="majorBidi" w:cstheme="majorBidi"/>
          <w:sz w:val="22"/>
        </w:rPr>
        <w:t xml:space="preserve"> that there </w:t>
      </w:r>
      <w:r w:rsidR="00902EA5" w:rsidRPr="007E5185">
        <w:rPr>
          <w:rFonts w:asciiTheme="majorBidi" w:hAnsiTheme="majorBidi" w:cstheme="majorBidi"/>
          <w:sz w:val="22"/>
        </w:rPr>
        <w:t>were</w:t>
      </w:r>
      <w:r w:rsidR="00911267" w:rsidRPr="007E5185">
        <w:rPr>
          <w:rFonts w:asciiTheme="majorBidi" w:hAnsiTheme="majorBidi" w:cstheme="majorBidi"/>
          <w:sz w:val="22"/>
        </w:rPr>
        <w:t xml:space="preserve"> differences among the posttest mean scores of MA (</w:t>
      </w:r>
      <w:r w:rsidR="00911267" w:rsidRPr="007E5185">
        <w:rPr>
          <w:rFonts w:asciiTheme="majorBidi" w:hAnsiTheme="majorBidi" w:cstheme="majorBidi"/>
          <w:i/>
          <w:iCs/>
          <w:sz w:val="22"/>
        </w:rPr>
        <w:t>M</w:t>
      </w:r>
      <w:r w:rsidR="00911267" w:rsidRPr="007E5185">
        <w:rPr>
          <w:rFonts w:asciiTheme="majorBidi" w:hAnsiTheme="majorBidi" w:cstheme="majorBidi"/>
          <w:sz w:val="22"/>
        </w:rPr>
        <w:t xml:space="preserve"> = 5.50), HA (</w:t>
      </w:r>
      <w:r w:rsidR="00911267" w:rsidRPr="007E5185">
        <w:rPr>
          <w:rFonts w:asciiTheme="majorBidi" w:hAnsiTheme="majorBidi" w:cstheme="majorBidi"/>
          <w:i/>
          <w:iCs/>
          <w:sz w:val="22"/>
        </w:rPr>
        <w:t>M</w:t>
      </w:r>
      <w:r w:rsidR="00911267" w:rsidRPr="007E5185">
        <w:rPr>
          <w:rFonts w:asciiTheme="majorBidi" w:hAnsiTheme="majorBidi" w:cstheme="majorBidi"/>
          <w:sz w:val="22"/>
        </w:rPr>
        <w:t xml:space="preserve"> = 6.37), and </w:t>
      </w:r>
      <w:r w:rsidR="009725FE" w:rsidRPr="007E5185">
        <w:rPr>
          <w:rFonts w:asciiTheme="majorBidi" w:hAnsiTheme="majorBidi" w:cstheme="majorBidi"/>
          <w:sz w:val="22"/>
        </w:rPr>
        <w:t xml:space="preserve">LA </w:t>
      </w:r>
      <w:r w:rsidR="00911267" w:rsidRPr="007E5185">
        <w:rPr>
          <w:rFonts w:asciiTheme="majorBidi" w:hAnsiTheme="majorBidi" w:cstheme="majorBidi"/>
          <w:sz w:val="22"/>
        </w:rPr>
        <w:t>(</w:t>
      </w:r>
      <w:r w:rsidR="00911267" w:rsidRPr="007E5185">
        <w:rPr>
          <w:rFonts w:asciiTheme="majorBidi" w:hAnsiTheme="majorBidi" w:cstheme="majorBidi"/>
          <w:i/>
          <w:iCs/>
          <w:sz w:val="22"/>
        </w:rPr>
        <w:t>M</w:t>
      </w:r>
      <w:r w:rsidR="00911267" w:rsidRPr="007E5185">
        <w:rPr>
          <w:rFonts w:asciiTheme="majorBidi" w:hAnsiTheme="majorBidi" w:cstheme="majorBidi"/>
          <w:sz w:val="22"/>
        </w:rPr>
        <w:t xml:space="preserve"> = 4.50) learners in the EG. To see whether these differences were statistically significant or not, the researcher had to check the </w:t>
      </w:r>
      <w:r w:rsidR="00911267" w:rsidRPr="007E5185">
        <w:rPr>
          <w:rFonts w:asciiTheme="majorBidi" w:hAnsiTheme="majorBidi" w:cstheme="majorBidi"/>
          <w:i/>
          <w:iCs/>
          <w:sz w:val="22"/>
        </w:rPr>
        <w:t xml:space="preserve">p </w:t>
      </w:r>
      <w:r w:rsidR="00911267" w:rsidRPr="007E5185">
        <w:rPr>
          <w:rFonts w:asciiTheme="majorBidi" w:hAnsiTheme="majorBidi" w:cstheme="majorBidi"/>
          <w:sz w:val="22"/>
        </w:rPr>
        <w:t xml:space="preserve">value in </w:t>
      </w:r>
      <w:r w:rsidR="00FD489B" w:rsidRPr="007E5185">
        <w:rPr>
          <w:rFonts w:asciiTheme="majorBidi" w:hAnsiTheme="majorBidi" w:cstheme="majorBidi"/>
          <w:sz w:val="22"/>
        </w:rPr>
        <w:t xml:space="preserve">the </w:t>
      </w:r>
      <w:r w:rsidR="00FD489B" w:rsidRPr="00E31D87">
        <w:rPr>
          <w:rFonts w:asciiTheme="majorBidi" w:hAnsiTheme="majorBidi" w:cstheme="majorBidi"/>
          <w:sz w:val="22"/>
        </w:rPr>
        <w:t>ANCOVA table</w:t>
      </w:r>
      <w:r w:rsidR="00FD489B" w:rsidRPr="007E5185">
        <w:rPr>
          <w:rFonts w:asciiTheme="majorBidi" w:hAnsiTheme="majorBidi" w:cstheme="majorBidi"/>
          <w:sz w:val="22"/>
        </w:rPr>
        <w:t xml:space="preserve"> below</w:t>
      </w:r>
      <w:r w:rsidR="008233C1" w:rsidRPr="007E5185">
        <w:rPr>
          <w:rFonts w:asciiTheme="majorBidi" w:hAnsiTheme="majorBidi" w:cstheme="majorBidi"/>
          <w:sz w:val="22"/>
        </w:rPr>
        <w:t>:</w:t>
      </w:r>
    </w:p>
    <w:p w14:paraId="419F79C4" w14:textId="77777777" w:rsidR="008F3EAE" w:rsidRPr="007E5185" w:rsidRDefault="008F3EAE" w:rsidP="001132F9">
      <w:pPr>
        <w:autoSpaceDE w:val="0"/>
        <w:autoSpaceDN w:val="0"/>
        <w:adjustRightInd w:val="0"/>
        <w:spacing w:after="0" w:line="240" w:lineRule="auto"/>
        <w:jc w:val="both"/>
        <w:rPr>
          <w:rFonts w:asciiTheme="majorBidi" w:hAnsiTheme="majorBidi" w:cstheme="majorBidi"/>
          <w:sz w:val="22"/>
        </w:rPr>
      </w:pPr>
    </w:p>
    <w:p w14:paraId="1E0F1FE2" w14:textId="77777777" w:rsidR="001F23FB" w:rsidRPr="00295A95" w:rsidRDefault="001F23FB"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E31D87" w:rsidRPr="00295A95">
        <w:rPr>
          <w:rFonts w:asciiTheme="majorBidi" w:eastAsia="Times New Roman" w:hAnsiTheme="majorBidi" w:cstheme="majorBidi"/>
          <w:sz w:val="20"/>
          <w:szCs w:val="20"/>
        </w:rPr>
        <w:t>5</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One-Way ANCOVA Results for the Posttest of MA, HA, and LA Learners in the EG</w:t>
      </w:r>
    </w:p>
    <w:tbl>
      <w:tblPr>
        <w:tblW w:w="8626"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735"/>
        <w:gridCol w:w="1009"/>
        <w:gridCol w:w="1423"/>
        <w:gridCol w:w="1423"/>
        <w:gridCol w:w="1009"/>
        <w:gridCol w:w="1009"/>
        <w:gridCol w:w="1009"/>
        <w:gridCol w:w="1009"/>
      </w:tblGrid>
      <w:tr w:rsidR="001F23FB" w:rsidRPr="00E4270D" w14:paraId="5B516231" w14:textId="77777777" w:rsidTr="00E4270D">
        <w:trPr>
          <w:cantSplit/>
          <w:jc w:val="center"/>
        </w:trPr>
        <w:tc>
          <w:tcPr>
            <w:tcW w:w="735" w:type="dxa"/>
            <w:shd w:val="clear" w:color="auto" w:fill="FFFFFF"/>
          </w:tcPr>
          <w:p w14:paraId="4546E61C" w14:textId="77777777" w:rsidR="001F23FB" w:rsidRPr="00295A95" w:rsidRDefault="001F23FB"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295A95">
              <w:rPr>
                <w:rFonts w:asciiTheme="majorBidi" w:hAnsiTheme="majorBidi" w:cstheme="majorBidi"/>
                <w:color w:val="000000"/>
                <w:sz w:val="20"/>
                <w:szCs w:val="20"/>
              </w:rPr>
              <w:t>Level</w:t>
            </w:r>
          </w:p>
        </w:tc>
        <w:tc>
          <w:tcPr>
            <w:tcW w:w="1009" w:type="dxa"/>
            <w:shd w:val="clear" w:color="auto" w:fill="FFFFFF"/>
          </w:tcPr>
          <w:p w14:paraId="4BF6A52D"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Mean</w:t>
            </w:r>
          </w:p>
        </w:tc>
        <w:tc>
          <w:tcPr>
            <w:tcW w:w="1423" w:type="dxa"/>
            <w:shd w:val="clear" w:color="auto" w:fill="FFFFFF"/>
          </w:tcPr>
          <w:p w14:paraId="502B837E"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Adjusted Mean</w:t>
            </w:r>
          </w:p>
        </w:tc>
        <w:tc>
          <w:tcPr>
            <w:tcW w:w="1423" w:type="dxa"/>
            <w:shd w:val="clear" w:color="auto" w:fill="FFFFFF"/>
          </w:tcPr>
          <w:p w14:paraId="306051F0"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Std. Deviation</w:t>
            </w:r>
          </w:p>
        </w:tc>
        <w:tc>
          <w:tcPr>
            <w:tcW w:w="1009" w:type="dxa"/>
            <w:shd w:val="clear" w:color="auto" w:fill="FFFFFF"/>
          </w:tcPr>
          <w:p w14:paraId="7A3443DE"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N</w:t>
            </w:r>
          </w:p>
        </w:tc>
        <w:tc>
          <w:tcPr>
            <w:tcW w:w="1009" w:type="dxa"/>
            <w:shd w:val="clear" w:color="auto" w:fill="FFFFFF"/>
          </w:tcPr>
          <w:p w14:paraId="421C9A21"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F</w:t>
            </w:r>
          </w:p>
        </w:tc>
        <w:tc>
          <w:tcPr>
            <w:tcW w:w="1009" w:type="dxa"/>
            <w:shd w:val="clear" w:color="auto" w:fill="FFFFFF"/>
          </w:tcPr>
          <w:p w14:paraId="5E51AED7"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Sig.</w:t>
            </w:r>
          </w:p>
        </w:tc>
        <w:tc>
          <w:tcPr>
            <w:tcW w:w="1009" w:type="dxa"/>
            <w:shd w:val="clear" w:color="auto" w:fill="FFFFFF"/>
          </w:tcPr>
          <w:p w14:paraId="7EAD598D"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Partial Eta Squared</w:t>
            </w:r>
          </w:p>
        </w:tc>
      </w:tr>
      <w:tr w:rsidR="001F23FB" w:rsidRPr="00E4270D" w14:paraId="2471CC13" w14:textId="77777777" w:rsidTr="00E4270D">
        <w:trPr>
          <w:cantSplit/>
          <w:jc w:val="center"/>
        </w:trPr>
        <w:tc>
          <w:tcPr>
            <w:tcW w:w="735" w:type="dxa"/>
            <w:shd w:val="clear" w:color="auto" w:fill="FFFFFF"/>
            <w:vAlign w:val="center"/>
          </w:tcPr>
          <w:p w14:paraId="5C30E843" w14:textId="77777777" w:rsidR="001F23FB" w:rsidRPr="00E4270D" w:rsidRDefault="001F23FB"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1009" w:type="dxa"/>
            <w:shd w:val="clear" w:color="auto" w:fill="FFFFFF"/>
          </w:tcPr>
          <w:p w14:paraId="5B4B32D9"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5.50</w:t>
            </w:r>
          </w:p>
        </w:tc>
        <w:tc>
          <w:tcPr>
            <w:tcW w:w="1423" w:type="dxa"/>
            <w:shd w:val="clear" w:color="auto" w:fill="FFFFFF"/>
          </w:tcPr>
          <w:p w14:paraId="6EEA86DF"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5.85</w:t>
            </w:r>
          </w:p>
        </w:tc>
        <w:tc>
          <w:tcPr>
            <w:tcW w:w="1423" w:type="dxa"/>
            <w:shd w:val="clear" w:color="auto" w:fill="FFFFFF"/>
          </w:tcPr>
          <w:p w14:paraId="36450343"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.82</w:t>
            </w:r>
          </w:p>
        </w:tc>
        <w:tc>
          <w:tcPr>
            <w:tcW w:w="1009" w:type="dxa"/>
            <w:shd w:val="clear" w:color="auto" w:fill="FFFFFF"/>
          </w:tcPr>
          <w:p w14:paraId="109AEAB3"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val="restart"/>
            <w:shd w:val="clear" w:color="auto" w:fill="FFFFFF"/>
          </w:tcPr>
          <w:p w14:paraId="222A81D6"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12.35</w:t>
            </w:r>
          </w:p>
        </w:tc>
        <w:tc>
          <w:tcPr>
            <w:tcW w:w="1009" w:type="dxa"/>
            <w:vMerge w:val="restart"/>
            <w:shd w:val="clear" w:color="auto" w:fill="FFFFFF"/>
          </w:tcPr>
          <w:p w14:paraId="53C3BA0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009" w:type="dxa"/>
            <w:vMerge w:val="restart"/>
            <w:shd w:val="clear" w:color="auto" w:fill="FFFFFF"/>
          </w:tcPr>
          <w:p w14:paraId="16C526E5"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.43</w:t>
            </w:r>
          </w:p>
        </w:tc>
      </w:tr>
      <w:tr w:rsidR="001F23FB" w:rsidRPr="00E4270D" w14:paraId="627347B4" w14:textId="77777777" w:rsidTr="00E4270D">
        <w:trPr>
          <w:cantSplit/>
          <w:jc w:val="center"/>
        </w:trPr>
        <w:tc>
          <w:tcPr>
            <w:tcW w:w="735" w:type="dxa"/>
            <w:shd w:val="clear" w:color="auto" w:fill="FFFFFF"/>
            <w:vAlign w:val="center"/>
          </w:tcPr>
          <w:p w14:paraId="3CAEC72D" w14:textId="77777777" w:rsidR="001F23FB" w:rsidRPr="00E4270D" w:rsidRDefault="001F23FB"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1009" w:type="dxa"/>
            <w:shd w:val="clear" w:color="auto" w:fill="FFFFFF"/>
          </w:tcPr>
          <w:p w14:paraId="181BCDC3"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6.37</w:t>
            </w:r>
          </w:p>
        </w:tc>
        <w:tc>
          <w:tcPr>
            <w:tcW w:w="1423" w:type="dxa"/>
            <w:shd w:val="clear" w:color="auto" w:fill="FFFFFF"/>
          </w:tcPr>
          <w:p w14:paraId="7DB15F18"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5.53</w:t>
            </w:r>
          </w:p>
        </w:tc>
        <w:tc>
          <w:tcPr>
            <w:tcW w:w="1423" w:type="dxa"/>
            <w:shd w:val="clear" w:color="auto" w:fill="FFFFFF"/>
          </w:tcPr>
          <w:p w14:paraId="189A10D6"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.80</w:t>
            </w:r>
          </w:p>
        </w:tc>
        <w:tc>
          <w:tcPr>
            <w:tcW w:w="1009" w:type="dxa"/>
            <w:shd w:val="clear" w:color="auto" w:fill="FFFFFF"/>
          </w:tcPr>
          <w:p w14:paraId="6984919F"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shd w:val="clear" w:color="auto" w:fill="FFFFFF"/>
          </w:tcPr>
          <w:p w14:paraId="1DD35D3A"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50AC3317"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7930DBF5"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r w:rsidR="001F23FB" w:rsidRPr="00E4270D" w14:paraId="06D07453" w14:textId="77777777" w:rsidTr="00E4270D">
        <w:trPr>
          <w:cantSplit/>
          <w:jc w:val="center"/>
        </w:trPr>
        <w:tc>
          <w:tcPr>
            <w:tcW w:w="735" w:type="dxa"/>
            <w:shd w:val="clear" w:color="auto" w:fill="FFFFFF"/>
            <w:vAlign w:val="center"/>
          </w:tcPr>
          <w:p w14:paraId="7B92AE69" w14:textId="77777777" w:rsidR="001F23FB" w:rsidRPr="00E4270D" w:rsidRDefault="001F23FB"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1009" w:type="dxa"/>
            <w:shd w:val="clear" w:color="auto" w:fill="FFFFFF"/>
          </w:tcPr>
          <w:p w14:paraId="4539F32C"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4.50</w:t>
            </w:r>
          </w:p>
        </w:tc>
        <w:tc>
          <w:tcPr>
            <w:tcW w:w="1423" w:type="dxa"/>
            <w:shd w:val="clear" w:color="auto" w:fill="FFFFFF"/>
          </w:tcPr>
          <w:p w14:paraId="5B32B0B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4.98</w:t>
            </w:r>
          </w:p>
        </w:tc>
        <w:tc>
          <w:tcPr>
            <w:tcW w:w="1423" w:type="dxa"/>
            <w:shd w:val="clear" w:color="auto" w:fill="FFFFFF"/>
          </w:tcPr>
          <w:p w14:paraId="42B2D64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.56</w:t>
            </w:r>
          </w:p>
        </w:tc>
        <w:tc>
          <w:tcPr>
            <w:tcW w:w="1009" w:type="dxa"/>
            <w:shd w:val="clear" w:color="auto" w:fill="FFFFFF"/>
          </w:tcPr>
          <w:p w14:paraId="61D3C559"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shd w:val="clear" w:color="auto" w:fill="FFFFFF"/>
          </w:tcPr>
          <w:p w14:paraId="1446D9D3"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7D1F3C1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3251CA73"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bl>
    <w:p w14:paraId="060B3FC4" w14:textId="77777777" w:rsidR="001F23FB" w:rsidRPr="007E5185" w:rsidRDefault="001F23FB" w:rsidP="001132F9">
      <w:pPr>
        <w:spacing w:line="240" w:lineRule="auto"/>
        <w:rPr>
          <w:rFonts w:asciiTheme="majorBidi" w:hAnsiTheme="majorBidi" w:cstheme="majorBidi"/>
          <w:b/>
          <w:bCs/>
          <w:sz w:val="22"/>
        </w:rPr>
      </w:pPr>
    </w:p>
    <w:p w14:paraId="7899EABC" w14:textId="77777777" w:rsidR="001F23FB" w:rsidRPr="007E5185" w:rsidRDefault="00F83F4F" w:rsidP="00E4270D">
      <w:pPr>
        <w:spacing w:after="120" w:line="240" w:lineRule="auto"/>
        <w:ind w:left="115" w:right="72"/>
        <w:jc w:val="both"/>
        <w:rPr>
          <w:rFonts w:asciiTheme="majorBidi" w:hAnsiTheme="majorBidi" w:cstheme="majorBidi"/>
          <w:b/>
          <w:bCs/>
          <w:sz w:val="22"/>
        </w:rPr>
      </w:pPr>
      <w:r w:rsidRPr="007E5185">
        <w:rPr>
          <w:rFonts w:asciiTheme="majorBidi" w:hAnsiTheme="majorBidi" w:cstheme="majorBidi"/>
          <w:sz w:val="22"/>
        </w:rPr>
        <w:t xml:space="preserve">The </w:t>
      </w:r>
      <w:r w:rsidRPr="007E5185">
        <w:rPr>
          <w:rFonts w:asciiTheme="majorBidi" w:hAnsiTheme="majorBidi" w:cstheme="majorBidi"/>
          <w:i/>
          <w:iCs/>
          <w:sz w:val="22"/>
        </w:rPr>
        <w:t xml:space="preserve">p </w:t>
      </w:r>
      <w:r w:rsidRPr="007E5185">
        <w:rPr>
          <w:rFonts w:asciiTheme="majorBidi" w:hAnsiTheme="majorBidi" w:cstheme="majorBidi"/>
          <w:sz w:val="22"/>
        </w:rPr>
        <w:t xml:space="preserve">value corresponding to the Groups row of the table was less than the significance level (.00 &lt; .05), implying that the differences among the MA, HA, and LA learners in the EG were statistically significant. </w:t>
      </w:r>
      <w:r w:rsidR="00902EA5" w:rsidRPr="007E5185">
        <w:rPr>
          <w:rFonts w:asciiTheme="majorBidi" w:hAnsiTheme="majorBidi" w:cstheme="majorBidi"/>
          <w:sz w:val="22"/>
        </w:rPr>
        <w:t>ANCOVA compared</w:t>
      </w:r>
      <w:r w:rsidRPr="007E5185">
        <w:rPr>
          <w:rFonts w:asciiTheme="majorBidi" w:hAnsiTheme="majorBidi" w:cstheme="majorBidi"/>
          <w:sz w:val="22"/>
        </w:rPr>
        <w:t xml:space="preserve"> the pretest scores of the groups to see if there </w:t>
      </w:r>
      <w:r w:rsidR="00902EA5" w:rsidRPr="007E5185">
        <w:rPr>
          <w:rFonts w:asciiTheme="majorBidi" w:hAnsiTheme="majorBidi" w:cstheme="majorBidi"/>
          <w:sz w:val="22"/>
        </w:rPr>
        <w:t>were</w:t>
      </w:r>
      <w:r w:rsidRPr="007E5185">
        <w:rPr>
          <w:rFonts w:asciiTheme="majorBidi" w:hAnsiTheme="majorBidi" w:cstheme="majorBidi"/>
          <w:sz w:val="22"/>
        </w:rPr>
        <w:t xml:space="preserve"> pre-existing differences between the groups, and then ma</w:t>
      </w:r>
      <w:r w:rsidR="00902EA5" w:rsidRPr="007E5185">
        <w:rPr>
          <w:rFonts w:asciiTheme="majorBidi" w:hAnsiTheme="majorBidi" w:cstheme="majorBidi"/>
          <w:sz w:val="22"/>
        </w:rPr>
        <w:t>de</w:t>
      </w:r>
      <w:r w:rsidRPr="007E5185">
        <w:rPr>
          <w:rFonts w:asciiTheme="majorBidi" w:hAnsiTheme="majorBidi" w:cstheme="majorBidi"/>
          <w:sz w:val="22"/>
        </w:rPr>
        <w:t xml:space="preserve"> adjustments and co</w:t>
      </w:r>
      <w:r w:rsidR="00902EA5" w:rsidRPr="007E5185">
        <w:rPr>
          <w:rFonts w:asciiTheme="majorBidi" w:hAnsiTheme="majorBidi" w:cstheme="majorBidi"/>
          <w:sz w:val="22"/>
        </w:rPr>
        <w:t>mpared</w:t>
      </w:r>
      <w:r w:rsidRPr="007E5185">
        <w:rPr>
          <w:rFonts w:asciiTheme="majorBidi" w:hAnsiTheme="majorBidi" w:cstheme="majorBidi"/>
          <w:sz w:val="22"/>
        </w:rPr>
        <w:t xml:space="preserve"> the posttest scores accordingly.</w:t>
      </w:r>
    </w:p>
    <w:p w14:paraId="43CF38C4" w14:textId="77777777" w:rsidR="001F23FB" w:rsidRPr="00295A95" w:rsidRDefault="001F23FB"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E31D87" w:rsidRPr="00295A95">
        <w:rPr>
          <w:rFonts w:asciiTheme="majorBidi" w:eastAsia="Times New Roman" w:hAnsiTheme="majorBidi" w:cstheme="majorBidi"/>
          <w:sz w:val="20"/>
          <w:szCs w:val="20"/>
        </w:rPr>
        <w:t>6</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Post Hoc Test Results for the Posttest Scores of MA, HA, and LA Learners in the EG</w:t>
      </w:r>
    </w:p>
    <w:tbl>
      <w:tblPr>
        <w:tblW w:w="8382"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933"/>
        <w:gridCol w:w="978"/>
        <w:gridCol w:w="1469"/>
        <w:gridCol w:w="1055"/>
        <w:gridCol w:w="1009"/>
        <w:gridCol w:w="1469"/>
        <w:gridCol w:w="1469"/>
      </w:tblGrid>
      <w:tr w:rsidR="001F23FB" w:rsidRPr="00E4270D" w14:paraId="51F096FB" w14:textId="77777777" w:rsidTr="00E4270D">
        <w:trPr>
          <w:cantSplit/>
          <w:jc w:val="center"/>
        </w:trPr>
        <w:tc>
          <w:tcPr>
            <w:tcW w:w="933" w:type="dxa"/>
            <w:vMerge w:val="restart"/>
            <w:shd w:val="clear" w:color="auto" w:fill="FFFFFF"/>
          </w:tcPr>
          <w:p w14:paraId="7FC18473"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(I) Level</w:t>
            </w:r>
          </w:p>
        </w:tc>
        <w:tc>
          <w:tcPr>
            <w:tcW w:w="978" w:type="dxa"/>
            <w:vMerge w:val="restart"/>
            <w:shd w:val="clear" w:color="auto" w:fill="FFFFFF"/>
          </w:tcPr>
          <w:p w14:paraId="3E033A65"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(J) Level</w:t>
            </w:r>
          </w:p>
        </w:tc>
        <w:tc>
          <w:tcPr>
            <w:tcW w:w="1469" w:type="dxa"/>
            <w:vMerge w:val="restart"/>
            <w:shd w:val="clear" w:color="auto" w:fill="FFFFFF"/>
          </w:tcPr>
          <w:p w14:paraId="1CE41008"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Mean Difference (I-J)</w:t>
            </w:r>
          </w:p>
        </w:tc>
        <w:tc>
          <w:tcPr>
            <w:tcW w:w="1055" w:type="dxa"/>
            <w:vMerge w:val="restart"/>
            <w:shd w:val="clear" w:color="auto" w:fill="FFFFFF"/>
          </w:tcPr>
          <w:p w14:paraId="7447C67D"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Std. Error</w:t>
            </w:r>
          </w:p>
        </w:tc>
        <w:tc>
          <w:tcPr>
            <w:tcW w:w="1009" w:type="dxa"/>
            <w:vMerge w:val="restart"/>
            <w:shd w:val="clear" w:color="auto" w:fill="FFFFFF"/>
          </w:tcPr>
          <w:p w14:paraId="0096A379"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Sig.</w:t>
            </w:r>
          </w:p>
        </w:tc>
        <w:tc>
          <w:tcPr>
            <w:tcW w:w="2938" w:type="dxa"/>
            <w:gridSpan w:val="2"/>
            <w:shd w:val="clear" w:color="auto" w:fill="FFFFFF"/>
          </w:tcPr>
          <w:p w14:paraId="2E0A0863"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95% Confidence Interval for Difference</w:t>
            </w:r>
          </w:p>
        </w:tc>
      </w:tr>
      <w:tr w:rsidR="001F23FB" w:rsidRPr="00E4270D" w14:paraId="2280D3FB" w14:textId="77777777" w:rsidTr="00E4270D">
        <w:trPr>
          <w:cantSplit/>
          <w:jc w:val="center"/>
        </w:trPr>
        <w:tc>
          <w:tcPr>
            <w:tcW w:w="933" w:type="dxa"/>
            <w:vMerge/>
            <w:shd w:val="clear" w:color="auto" w:fill="FFFFFF"/>
          </w:tcPr>
          <w:p w14:paraId="15DCF86F" w14:textId="77777777" w:rsidR="001F23FB" w:rsidRPr="00295A95"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978" w:type="dxa"/>
            <w:vMerge/>
            <w:shd w:val="clear" w:color="auto" w:fill="FFFFFF"/>
          </w:tcPr>
          <w:p w14:paraId="59338301" w14:textId="77777777" w:rsidR="001F23FB" w:rsidRPr="00295A95"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1469" w:type="dxa"/>
            <w:vMerge/>
            <w:shd w:val="clear" w:color="auto" w:fill="FFFFFF"/>
          </w:tcPr>
          <w:p w14:paraId="28359E8C" w14:textId="77777777" w:rsidR="001F23FB" w:rsidRPr="00295A95"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1055" w:type="dxa"/>
            <w:vMerge/>
            <w:shd w:val="clear" w:color="auto" w:fill="FFFFFF"/>
          </w:tcPr>
          <w:p w14:paraId="2C102AE4" w14:textId="77777777" w:rsidR="001F23FB" w:rsidRPr="00295A95"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1009" w:type="dxa"/>
            <w:vMerge/>
            <w:shd w:val="clear" w:color="auto" w:fill="FFFFFF"/>
          </w:tcPr>
          <w:p w14:paraId="034A31FE" w14:textId="77777777" w:rsidR="001F23FB" w:rsidRPr="00295A95"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1469" w:type="dxa"/>
            <w:shd w:val="clear" w:color="auto" w:fill="FFFFFF"/>
          </w:tcPr>
          <w:p w14:paraId="506C837C"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Lower Bound</w:t>
            </w:r>
          </w:p>
        </w:tc>
        <w:tc>
          <w:tcPr>
            <w:tcW w:w="1469" w:type="dxa"/>
            <w:shd w:val="clear" w:color="auto" w:fill="FFFFFF"/>
          </w:tcPr>
          <w:p w14:paraId="6DFD1E50" w14:textId="77777777" w:rsidR="001F23FB" w:rsidRPr="00295A95"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295A95">
              <w:rPr>
                <w:rFonts w:asciiTheme="majorBidi" w:hAnsiTheme="majorBidi" w:cstheme="majorBidi"/>
                <w:color w:val="000000"/>
                <w:sz w:val="20"/>
                <w:szCs w:val="20"/>
              </w:rPr>
              <w:t>Upper Bound</w:t>
            </w:r>
          </w:p>
        </w:tc>
      </w:tr>
      <w:tr w:rsidR="001F23FB" w:rsidRPr="00E4270D" w14:paraId="3EF89CCA" w14:textId="77777777" w:rsidTr="00E4270D">
        <w:trPr>
          <w:cantSplit/>
          <w:jc w:val="center"/>
        </w:trPr>
        <w:tc>
          <w:tcPr>
            <w:tcW w:w="933" w:type="dxa"/>
            <w:vMerge w:val="restart"/>
            <w:shd w:val="clear" w:color="auto" w:fill="FFFFFF"/>
            <w:vAlign w:val="center"/>
          </w:tcPr>
          <w:p w14:paraId="435113D5"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978" w:type="dxa"/>
            <w:shd w:val="clear" w:color="auto" w:fill="FFFFFF"/>
            <w:vAlign w:val="center"/>
          </w:tcPr>
          <w:p w14:paraId="1872AF71"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1469" w:type="dxa"/>
            <w:shd w:val="clear" w:color="auto" w:fill="FFFFFF"/>
          </w:tcPr>
          <w:p w14:paraId="02C14C75"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.31</w:t>
            </w:r>
          </w:p>
        </w:tc>
        <w:tc>
          <w:tcPr>
            <w:tcW w:w="1055" w:type="dxa"/>
            <w:shd w:val="clear" w:color="auto" w:fill="FFFFFF"/>
          </w:tcPr>
          <w:p w14:paraId="4C9EE624"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.22</w:t>
            </w:r>
          </w:p>
        </w:tc>
        <w:tc>
          <w:tcPr>
            <w:tcW w:w="1009" w:type="dxa"/>
            <w:shd w:val="clear" w:color="auto" w:fill="FFFFFF"/>
          </w:tcPr>
          <w:p w14:paraId="06EFD16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.50</w:t>
            </w:r>
          </w:p>
        </w:tc>
        <w:tc>
          <w:tcPr>
            <w:tcW w:w="1469" w:type="dxa"/>
            <w:shd w:val="clear" w:color="auto" w:fill="FFFFFF"/>
          </w:tcPr>
          <w:p w14:paraId="3941B449"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-.25</w:t>
            </w:r>
          </w:p>
        </w:tc>
        <w:tc>
          <w:tcPr>
            <w:tcW w:w="1469" w:type="dxa"/>
            <w:shd w:val="clear" w:color="auto" w:fill="FFFFFF"/>
          </w:tcPr>
          <w:p w14:paraId="28AE3A20"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.88</w:t>
            </w:r>
          </w:p>
        </w:tc>
      </w:tr>
      <w:tr w:rsidR="001F23FB" w:rsidRPr="00E4270D" w14:paraId="3371FE3D" w14:textId="77777777" w:rsidTr="00E4270D">
        <w:trPr>
          <w:cantSplit/>
          <w:jc w:val="center"/>
        </w:trPr>
        <w:tc>
          <w:tcPr>
            <w:tcW w:w="933" w:type="dxa"/>
            <w:vMerge/>
            <w:shd w:val="clear" w:color="auto" w:fill="FFFFFF"/>
            <w:vAlign w:val="center"/>
          </w:tcPr>
          <w:p w14:paraId="62A3CFF1" w14:textId="77777777" w:rsidR="001F23FB" w:rsidRPr="00E4270D"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978" w:type="dxa"/>
            <w:shd w:val="clear" w:color="auto" w:fill="FFFFFF"/>
            <w:vAlign w:val="center"/>
          </w:tcPr>
          <w:p w14:paraId="416D333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1469" w:type="dxa"/>
            <w:shd w:val="clear" w:color="auto" w:fill="FFFFFF"/>
          </w:tcPr>
          <w:p w14:paraId="155340BE"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.86</w:t>
            </w:r>
            <w:r w:rsidRPr="00E4270D">
              <w:rPr>
                <w:rFonts w:asciiTheme="majorBidi" w:hAnsiTheme="majorBidi" w:cstheme="majorBidi"/>
                <w:color w:val="000000"/>
                <w:sz w:val="20"/>
                <w:szCs w:val="20"/>
                <w:vertAlign w:val="superscript"/>
              </w:rPr>
              <w:t>*</w:t>
            </w:r>
          </w:p>
        </w:tc>
        <w:tc>
          <w:tcPr>
            <w:tcW w:w="1055" w:type="dxa"/>
            <w:shd w:val="clear" w:color="auto" w:fill="FFFFFF"/>
          </w:tcPr>
          <w:p w14:paraId="35E7787D"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.17</w:t>
            </w:r>
          </w:p>
        </w:tc>
        <w:tc>
          <w:tcPr>
            <w:tcW w:w="1009" w:type="dxa"/>
            <w:shd w:val="clear" w:color="auto" w:fill="FFFFFF"/>
          </w:tcPr>
          <w:p w14:paraId="0C06277C"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469" w:type="dxa"/>
            <w:shd w:val="clear" w:color="auto" w:fill="FFFFFF"/>
          </w:tcPr>
          <w:p w14:paraId="63256BE1"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.42</w:t>
            </w:r>
          </w:p>
        </w:tc>
        <w:tc>
          <w:tcPr>
            <w:tcW w:w="1469" w:type="dxa"/>
            <w:shd w:val="clear" w:color="auto" w:fill="FFFFFF"/>
          </w:tcPr>
          <w:p w14:paraId="2DA87A8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1.30</w:t>
            </w:r>
          </w:p>
        </w:tc>
      </w:tr>
      <w:tr w:rsidR="001F23FB" w:rsidRPr="00E4270D" w14:paraId="56C2682C" w14:textId="77777777" w:rsidTr="00E4270D">
        <w:trPr>
          <w:cantSplit/>
          <w:jc w:val="center"/>
        </w:trPr>
        <w:tc>
          <w:tcPr>
            <w:tcW w:w="933" w:type="dxa"/>
            <w:vMerge w:val="restart"/>
            <w:shd w:val="clear" w:color="auto" w:fill="FFFFFF"/>
            <w:vAlign w:val="center"/>
          </w:tcPr>
          <w:p w14:paraId="37333889"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978" w:type="dxa"/>
            <w:shd w:val="clear" w:color="auto" w:fill="FFFFFF"/>
            <w:vAlign w:val="center"/>
          </w:tcPr>
          <w:p w14:paraId="430CB975"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1469" w:type="dxa"/>
            <w:shd w:val="clear" w:color="auto" w:fill="FFFFFF"/>
          </w:tcPr>
          <w:p w14:paraId="5A33A79A"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-.31</w:t>
            </w:r>
          </w:p>
        </w:tc>
        <w:tc>
          <w:tcPr>
            <w:tcW w:w="1055" w:type="dxa"/>
            <w:shd w:val="clear" w:color="auto" w:fill="FFFFFF"/>
          </w:tcPr>
          <w:p w14:paraId="0AB1A095"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.22</w:t>
            </w:r>
          </w:p>
        </w:tc>
        <w:tc>
          <w:tcPr>
            <w:tcW w:w="1009" w:type="dxa"/>
            <w:shd w:val="clear" w:color="auto" w:fill="FFFFFF"/>
          </w:tcPr>
          <w:p w14:paraId="5B6A1B3D"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.50</w:t>
            </w:r>
          </w:p>
        </w:tc>
        <w:tc>
          <w:tcPr>
            <w:tcW w:w="1469" w:type="dxa"/>
            <w:shd w:val="clear" w:color="auto" w:fill="FFFFFF"/>
          </w:tcPr>
          <w:p w14:paraId="10A3EC53"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-.88</w:t>
            </w:r>
          </w:p>
        </w:tc>
        <w:tc>
          <w:tcPr>
            <w:tcW w:w="1469" w:type="dxa"/>
            <w:shd w:val="clear" w:color="auto" w:fill="FFFFFF"/>
          </w:tcPr>
          <w:p w14:paraId="7BADD49C"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.25</w:t>
            </w:r>
          </w:p>
        </w:tc>
      </w:tr>
      <w:tr w:rsidR="001F23FB" w:rsidRPr="00E4270D" w14:paraId="411CE737" w14:textId="77777777" w:rsidTr="00E4270D">
        <w:trPr>
          <w:cantSplit/>
          <w:jc w:val="center"/>
        </w:trPr>
        <w:tc>
          <w:tcPr>
            <w:tcW w:w="933" w:type="dxa"/>
            <w:vMerge/>
            <w:shd w:val="clear" w:color="auto" w:fill="FFFFFF"/>
            <w:vAlign w:val="center"/>
          </w:tcPr>
          <w:p w14:paraId="7B23316E" w14:textId="77777777" w:rsidR="001F23FB" w:rsidRPr="00E4270D"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978" w:type="dxa"/>
            <w:shd w:val="clear" w:color="auto" w:fill="FFFFFF"/>
            <w:vAlign w:val="center"/>
          </w:tcPr>
          <w:p w14:paraId="102C33D0"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1469" w:type="dxa"/>
            <w:shd w:val="clear" w:color="auto" w:fill="FFFFFF"/>
          </w:tcPr>
          <w:p w14:paraId="0ACC66F1"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.54</w:t>
            </w:r>
          </w:p>
        </w:tc>
        <w:tc>
          <w:tcPr>
            <w:tcW w:w="1055" w:type="dxa"/>
            <w:shd w:val="clear" w:color="auto" w:fill="FFFFFF"/>
          </w:tcPr>
          <w:p w14:paraId="5E95DDC0"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.23</w:t>
            </w:r>
          </w:p>
        </w:tc>
        <w:tc>
          <w:tcPr>
            <w:tcW w:w="1009" w:type="dxa"/>
            <w:shd w:val="clear" w:color="auto" w:fill="FFFFFF"/>
          </w:tcPr>
          <w:p w14:paraId="3669036A"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.08</w:t>
            </w:r>
          </w:p>
        </w:tc>
        <w:tc>
          <w:tcPr>
            <w:tcW w:w="1469" w:type="dxa"/>
            <w:shd w:val="clear" w:color="auto" w:fill="FFFFFF"/>
          </w:tcPr>
          <w:p w14:paraId="75B4CC3A"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-.05</w:t>
            </w:r>
          </w:p>
        </w:tc>
        <w:tc>
          <w:tcPr>
            <w:tcW w:w="1469" w:type="dxa"/>
            <w:shd w:val="clear" w:color="auto" w:fill="FFFFFF"/>
          </w:tcPr>
          <w:p w14:paraId="340BBB4A"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1.14</w:t>
            </w:r>
          </w:p>
        </w:tc>
      </w:tr>
      <w:tr w:rsidR="001F23FB" w:rsidRPr="00E4270D" w14:paraId="7092538D" w14:textId="77777777" w:rsidTr="00E4270D">
        <w:trPr>
          <w:cantSplit/>
          <w:jc w:val="center"/>
        </w:trPr>
        <w:tc>
          <w:tcPr>
            <w:tcW w:w="933" w:type="dxa"/>
            <w:vMerge w:val="restart"/>
            <w:shd w:val="clear" w:color="auto" w:fill="FFFFFF"/>
            <w:vAlign w:val="center"/>
          </w:tcPr>
          <w:p w14:paraId="0CDF00F3"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978" w:type="dxa"/>
            <w:shd w:val="clear" w:color="auto" w:fill="FFFFFF"/>
            <w:vAlign w:val="center"/>
          </w:tcPr>
          <w:p w14:paraId="62342731"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1469" w:type="dxa"/>
            <w:shd w:val="clear" w:color="auto" w:fill="FFFFFF"/>
          </w:tcPr>
          <w:p w14:paraId="05D0767E"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-.86</w:t>
            </w:r>
            <w:r w:rsidRPr="00E4270D">
              <w:rPr>
                <w:rFonts w:asciiTheme="majorBidi" w:hAnsiTheme="majorBidi" w:cstheme="majorBidi"/>
                <w:color w:val="000000"/>
                <w:sz w:val="20"/>
                <w:szCs w:val="20"/>
                <w:vertAlign w:val="superscript"/>
              </w:rPr>
              <w:t>*</w:t>
            </w:r>
          </w:p>
        </w:tc>
        <w:tc>
          <w:tcPr>
            <w:tcW w:w="1055" w:type="dxa"/>
            <w:shd w:val="clear" w:color="auto" w:fill="FFFFFF"/>
          </w:tcPr>
          <w:p w14:paraId="295E84A2"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.17</w:t>
            </w:r>
          </w:p>
        </w:tc>
        <w:tc>
          <w:tcPr>
            <w:tcW w:w="1009" w:type="dxa"/>
            <w:shd w:val="clear" w:color="auto" w:fill="FFFFFF"/>
          </w:tcPr>
          <w:p w14:paraId="2A1311EB"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469" w:type="dxa"/>
            <w:shd w:val="clear" w:color="auto" w:fill="FFFFFF"/>
          </w:tcPr>
          <w:p w14:paraId="38A340C2"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-1.30</w:t>
            </w:r>
          </w:p>
        </w:tc>
        <w:tc>
          <w:tcPr>
            <w:tcW w:w="1469" w:type="dxa"/>
            <w:shd w:val="clear" w:color="auto" w:fill="FFFFFF"/>
          </w:tcPr>
          <w:p w14:paraId="69F82AE4"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-.42</w:t>
            </w:r>
          </w:p>
        </w:tc>
      </w:tr>
      <w:tr w:rsidR="001F23FB" w:rsidRPr="00E4270D" w14:paraId="40B06381" w14:textId="77777777" w:rsidTr="00E4270D">
        <w:trPr>
          <w:cantSplit/>
          <w:jc w:val="center"/>
        </w:trPr>
        <w:tc>
          <w:tcPr>
            <w:tcW w:w="933" w:type="dxa"/>
            <w:vMerge/>
            <w:shd w:val="clear" w:color="auto" w:fill="FFFFFF"/>
            <w:vAlign w:val="center"/>
          </w:tcPr>
          <w:p w14:paraId="389C498D" w14:textId="77777777" w:rsidR="001F23FB" w:rsidRPr="00E4270D" w:rsidRDefault="001F23FB"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978" w:type="dxa"/>
            <w:shd w:val="clear" w:color="auto" w:fill="FFFFFF"/>
            <w:vAlign w:val="center"/>
          </w:tcPr>
          <w:p w14:paraId="5EBE6D7A"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1469" w:type="dxa"/>
            <w:shd w:val="clear" w:color="auto" w:fill="FFFFFF"/>
          </w:tcPr>
          <w:p w14:paraId="4A7AD78F"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-.54</w:t>
            </w:r>
          </w:p>
        </w:tc>
        <w:tc>
          <w:tcPr>
            <w:tcW w:w="1055" w:type="dxa"/>
            <w:shd w:val="clear" w:color="auto" w:fill="FFFFFF"/>
          </w:tcPr>
          <w:p w14:paraId="65AC548D"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.23</w:t>
            </w:r>
          </w:p>
        </w:tc>
        <w:tc>
          <w:tcPr>
            <w:tcW w:w="1009" w:type="dxa"/>
            <w:shd w:val="clear" w:color="auto" w:fill="FFFFFF"/>
          </w:tcPr>
          <w:p w14:paraId="1F3489A1"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.08</w:t>
            </w:r>
          </w:p>
        </w:tc>
        <w:tc>
          <w:tcPr>
            <w:tcW w:w="1469" w:type="dxa"/>
            <w:shd w:val="clear" w:color="auto" w:fill="FFFFFF"/>
          </w:tcPr>
          <w:p w14:paraId="3D90A840"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-1.14</w:t>
            </w:r>
          </w:p>
        </w:tc>
        <w:tc>
          <w:tcPr>
            <w:tcW w:w="1469" w:type="dxa"/>
            <w:shd w:val="clear" w:color="auto" w:fill="FFFFFF"/>
          </w:tcPr>
          <w:p w14:paraId="71937304" w14:textId="77777777" w:rsidR="001F23FB" w:rsidRPr="00E4270D" w:rsidRDefault="001F23FB"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.05</w:t>
            </w:r>
          </w:p>
        </w:tc>
      </w:tr>
    </w:tbl>
    <w:p w14:paraId="49E619DD" w14:textId="77777777" w:rsidR="00483C36" w:rsidRPr="007E5185" w:rsidRDefault="00483C36" w:rsidP="001132F9">
      <w:pPr>
        <w:autoSpaceDE w:val="0"/>
        <w:autoSpaceDN w:val="0"/>
        <w:adjustRightInd w:val="0"/>
        <w:spacing w:after="0" w:line="240" w:lineRule="auto"/>
        <w:rPr>
          <w:rFonts w:asciiTheme="majorBidi" w:hAnsiTheme="majorBidi" w:cstheme="majorBidi"/>
          <w:sz w:val="22"/>
        </w:rPr>
      </w:pPr>
    </w:p>
    <w:p w14:paraId="1B7B1080" w14:textId="2B9D11DB" w:rsidR="00543CF7" w:rsidRDefault="008F3EAE" w:rsidP="00E4270D">
      <w:pPr>
        <w:autoSpaceDE w:val="0"/>
        <w:autoSpaceDN w:val="0"/>
        <w:adjustRightInd w:val="0"/>
        <w:spacing w:after="120" w:line="240" w:lineRule="auto"/>
        <w:ind w:left="115" w:right="72"/>
        <w:jc w:val="both"/>
        <w:rPr>
          <w:rFonts w:asciiTheme="majorBidi" w:hAnsiTheme="majorBidi" w:cstheme="majorBidi"/>
          <w:sz w:val="22"/>
        </w:rPr>
      </w:pPr>
      <w:r w:rsidRPr="007E5185">
        <w:rPr>
          <w:rFonts w:asciiTheme="majorBidi" w:hAnsiTheme="majorBidi" w:cstheme="majorBidi"/>
          <w:sz w:val="22"/>
        </w:rPr>
        <w:t>The adjusted mean scores of the MA, HA, and LA learners in the EG were 5.85, 5.53, and 4.93, respectively. The difference between the MA (</w:t>
      </w:r>
      <w:r w:rsidRPr="007E5185">
        <w:rPr>
          <w:rFonts w:asciiTheme="majorBidi" w:hAnsiTheme="majorBidi" w:cstheme="majorBidi"/>
          <w:i/>
          <w:iCs/>
          <w:sz w:val="22"/>
        </w:rPr>
        <w:t xml:space="preserve">M </w:t>
      </w:r>
      <w:r w:rsidRPr="007E5185">
        <w:rPr>
          <w:rFonts w:asciiTheme="majorBidi" w:hAnsiTheme="majorBidi" w:cstheme="majorBidi"/>
          <w:sz w:val="22"/>
        </w:rPr>
        <w:t>= 5.85) and LA (</w:t>
      </w:r>
      <w:r w:rsidRPr="007E5185">
        <w:rPr>
          <w:rFonts w:asciiTheme="majorBidi" w:hAnsiTheme="majorBidi" w:cstheme="majorBidi"/>
          <w:i/>
          <w:iCs/>
          <w:sz w:val="22"/>
        </w:rPr>
        <w:t xml:space="preserve">M </w:t>
      </w:r>
      <w:r w:rsidRPr="007E5185">
        <w:rPr>
          <w:rFonts w:asciiTheme="majorBidi" w:hAnsiTheme="majorBidi" w:cstheme="majorBidi"/>
          <w:sz w:val="22"/>
        </w:rPr>
        <w:t>= 4.98) learners in the EG was found to be statistically significant, but the difference between MA and HA (</w:t>
      </w:r>
      <w:r w:rsidRPr="007E5185">
        <w:rPr>
          <w:rFonts w:asciiTheme="majorBidi" w:hAnsiTheme="majorBidi" w:cstheme="majorBidi"/>
          <w:i/>
          <w:iCs/>
          <w:sz w:val="22"/>
        </w:rPr>
        <w:t xml:space="preserve">M </w:t>
      </w:r>
      <w:r w:rsidRPr="007E5185">
        <w:rPr>
          <w:rFonts w:asciiTheme="majorBidi" w:hAnsiTheme="majorBidi" w:cstheme="majorBidi"/>
          <w:sz w:val="22"/>
        </w:rPr>
        <w:t>= 5.53) was not of statistical significance, and nor was</w:t>
      </w:r>
      <w:r w:rsidR="00D030BE" w:rsidRPr="007E5185">
        <w:rPr>
          <w:rFonts w:asciiTheme="majorBidi" w:hAnsiTheme="majorBidi" w:cstheme="majorBidi"/>
          <w:sz w:val="22"/>
        </w:rPr>
        <w:t xml:space="preserve"> the difference between HA and L</w:t>
      </w:r>
      <w:r w:rsidRPr="007E5185">
        <w:rPr>
          <w:rFonts w:asciiTheme="majorBidi" w:hAnsiTheme="majorBidi" w:cstheme="majorBidi"/>
          <w:sz w:val="22"/>
        </w:rPr>
        <w:t>A learners in the EG.</w:t>
      </w:r>
      <w:r w:rsidR="00E4270D">
        <w:rPr>
          <w:rFonts w:asciiTheme="majorBidi" w:hAnsiTheme="majorBidi" w:cstheme="majorBidi"/>
          <w:sz w:val="22"/>
        </w:rPr>
        <w:t xml:space="preserve"> </w:t>
      </w:r>
      <w:r w:rsidR="00543CF7" w:rsidRPr="007E5185">
        <w:rPr>
          <w:rFonts w:asciiTheme="majorBidi" w:hAnsiTheme="majorBidi" w:cstheme="majorBidi"/>
          <w:sz w:val="22"/>
        </w:rPr>
        <w:t xml:space="preserve">The results </w:t>
      </w:r>
      <w:r w:rsidR="00902EA5" w:rsidRPr="007E5185">
        <w:rPr>
          <w:rFonts w:asciiTheme="majorBidi" w:hAnsiTheme="majorBidi" w:cstheme="majorBidi"/>
          <w:sz w:val="22"/>
        </w:rPr>
        <w:t>showed that there we</w:t>
      </w:r>
      <w:r w:rsidR="00543CF7" w:rsidRPr="007E5185">
        <w:rPr>
          <w:rFonts w:asciiTheme="majorBidi" w:hAnsiTheme="majorBidi" w:cstheme="majorBidi"/>
          <w:sz w:val="22"/>
        </w:rPr>
        <w:t>re differences among the posttest mean scores of MA (</w:t>
      </w:r>
      <w:r w:rsidR="00543CF7" w:rsidRPr="007E5185">
        <w:rPr>
          <w:rFonts w:asciiTheme="majorBidi" w:hAnsiTheme="majorBidi" w:cstheme="majorBidi"/>
          <w:i/>
          <w:iCs/>
          <w:sz w:val="22"/>
        </w:rPr>
        <w:t>M</w:t>
      </w:r>
      <w:r w:rsidR="00543CF7" w:rsidRPr="007E5185">
        <w:rPr>
          <w:rFonts w:asciiTheme="majorBidi" w:hAnsiTheme="majorBidi" w:cstheme="majorBidi"/>
          <w:sz w:val="22"/>
        </w:rPr>
        <w:t xml:space="preserve"> = 4.58), HA (</w:t>
      </w:r>
      <w:r w:rsidR="00543CF7" w:rsidRPr="007E5185">
        <w:rPr>
          <w:rFonts w:asciiTheme="majorBidi" w:hAnsiTheme="majorBidi" w:cstheme="majorBidi"/>
          <w:i/>
          <w:iCs/>
          <w:sz w:val="22"/>
        </w:rPr>
        <w:t>M</w:t>
      </w:r>
      <w:r w:rsidR="00543CF7" w:rsidRPr="007E5185">
        <w:rPr>
          <w:rFonts w:asciiTheme="majorBidi" w:hAnsiTheme="majorBidi" w:cstheme="majorBidi"/>
          <w:sz w:val="22"/>
        </w:rPr>
        <w:t xml:space="preserve"> = 6.04), and </w:t>
      </w:r>
      <w:r w:rsidR="00FD489B" w:rsidRPr="007E5185">
        <w:rPr>
          <w:rFonts w:asciiTheme="majorBidi" w:hAnsiTheme="majorBidi" w:cstheme="majorBidi"/>
          <w:sz w:val="22"/>
        </w:rPr>
        <w:t xml:space="preserve">LA </w:t>
      </w:r>
      <w:r w:rsidR="00543CF7" w:rsidRPr="007E5185">
        <w:rPr>
          <w:rFonts w:asciiTheme="majorBidi" w:hAnsiTheme="majorBidi" w:cstheme="majorBidi"/>
          <w:sz w:val="22"/>
        </w:rPr>
        <w:t>(</w:t>
      </w:r>
      <w:r w:rsidR="00543CF7" w:rsidRPr="007E5185">
        <w:rPr>
          <w:rFonts w:asciiTheme="majorBidi" w:hAnsiTheme="majorBidi" w:cstheme="majorBidi"/>
          <w:i/>
          <w:iCs/>
          <w:sz w:val="22"/>
        </w:rPr>
        <w:t>M</w:t>
      </w:r>
      <w:r w:rsidR="00543CF7" w:rsidRPr="007E5185">
        <w:rPr>
          <w:rFonts w:asciiTheme="majorBidi" w:hAnsiTheme="majorBidi" w:cstheme="majorBidi"/>
          <w:sz w:val="22"/>
        </w:rPr>
        <w:t xml:space="preserve"> = 5.41) learners in the CG. To find out whether these differences were statistically significant or not, the researcher</w:t>
      </w:r>
      <w:r w:rsidR="00765080">
        <w:rPr>
          <w:rFonts w:asciiTheme="majorBidi" w:hAnsiTheme="majorBidi" w:cstheme="majorBidi"/>
          <w:sz w:val="22"/>
        </w:rPr>
        <w:t>s</w:t>
      </w:r>
      <w:r w:rsidR="00543CF7" w:rsidRPr="007E5185">
        <w:rPr>
          <w:rFonts w:asciiTheme="majorBidi" w:hAnsiTheme="majorBidi" w:cstheme="majorBidi"/>
          <w:sz w:val="22"/>
        </w:rPr>
        <w:t xml:space="preserve"> had to examine the </w:t>
      </w:r>
      <w:r w:rsidR="00543CF7" w:rsidRPr="007E5185">
        <w:rPr>
          <w:rFonts w:asciiTheme="majorBidi" w:hAnsiTheme="majorBidi" w:cstheme="majorBidi"/>
          <w:i/>
          <w:iCs/>
          <w:sz w:val="22"/>
        </w:rPr>
        <w:t xml:space="preserve">p </w:t>
      </w:r>
      <w:r w:rsidR="00543CF7" w:rsidRPr="007E5185">
        <w:rPr>
          <w:rFonts w:asciiTheme="majorBidi" w:hAnsiTheme="majorBidi" w:cstheme="majorBidi"/>
          <w:sz w:val="22"/>
        </w:rPr>
        <w:t xml:space="preserve">value in the </w:t>
      </w:r>
      <w:r w:rsidR="00543CF7" w:rsidRPr="009B14DE">
        <w:rPr>
          <w:rFonts w:asciiTheme="majorBidi" w:hAnsiTheme="majorBidi" w:cstheme="majorBidi"/>
          <w:sz w:val="22"/>
        </w:rPr>
        <w:t>ANCOVA table</w:t>
      </w:r>
      <w:r w:rsidR="00295A95">
        <w:rPr>
          <w:rFonts w:asciiTheme="majorBidi" w:hAnsiTheme="majorBidi" w:cstheme="majorBidi"/>
          <w:sz w:val="22"/>
        </w:rPr>
        <w:t xml:space="preserve"> below.</w:t>
      </w:r>
    </w:p>
    <w:p w14:paraId="53CAF16F" w14:textId="77777777" w:rsidR="00295A95" w:rsidRDefault="00295A95" w:rsidP="00E4270D">
      <w:pPr>
        <w:autoSpaceDE w:val="0"/>
        <w:autoSpaceDN w:val="0"/>
        <w:adjustRightInd w:val="0"/>
        <w:spacing w:after="120" w:line="240" w:lineRule="auto"/>
        <w:ind w:left="115" w:right="72"/>
        <w:jc w:val="both"/>
        <w:rPr>
          <w:rFonts w:asciiTheme="majorBidi" w:hAnsiTheme="majorBidi" w:cstheme="majorBidi"/>
          <w:sz w:val="22"/>
        </w:rPr>
      </w:pPr>
    </w:p>
    <w:p w14:paraId="217DBE52" w14:textId="77777777" w:rsidR="00661764" w:rsidRPr="00E4270D" w:rsidRDefault="00661764" w:rsidP="00E4270D">
      <w:pPr>
        <w:autoSpaceDE w:val="0"/>
        <w:autoSpaceDN w:val="0"/>
        <w:adjustRightInd w:val="0"/>
        <w:spacing w:after="120" w:line="240" w:lineRule="auto"/>
        <w:ind w:left="115" w:right="72"/>
        <w:jc w:val="both"/>
        <w:rPr>
          <w:rFonts w:asciiTheme="majorBidi" w:hAnsiTheme="majorBidi" w:cstheme="majorBidi"/>
          <w:sz w:val="22"/>
        </w:rPr>
      </w:pPr>
    </w:p>
    <w:p w14:paraId="5B34B07A" w14:textId="77777777" w:rsidR="0062348A" w:rsidRPr="00295A95" w:rsidRDefault="0062348A"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lastRenderedPageBreak/>
        <w:t xml:space="preserve">Table </w:t>
      </w:r>
      <w:r w:rsidR="009B14DE" w:rsidRPr="00295A95">
        <w:rPr>
          <w:rFonts w:asciiTheme="majorBidi" w:eastAsia="Times New Roman" w:hAnsiTheme="majorBidi" w:cstheme="majorBidi"/>
          <w:sz w:val="20"/>
          <w:szCs w:val="20"/>
        </w:rPr>
        <w:t>7</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One-Way ANCOVA Results for the Posttest Scores of MA, HA, and LA Learners in the CG</w:t>
      </w:r>
    </w:p>
    <w:tbl>
      <w:tblPr>
        <w:tblW w:w="8626"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735"/>
        <w:gridCol w:w="1009"/>
        <w:gridCol w:w="1423"/>
        <w:gridCol w:w="1423"/>
        <w:gridCol w:w="1009"/>
        <w:gridCol w:w="1009"/>
        <w:gridCol w:w="1009"/>
        <w:gridCol w:w="1009"/>
      </w:tblGrid>
      <w:tr w:rsidR="0062348A" w:rsidRPr="00E4270D" w14:paraId="088A998E" w14:textId="77777777" w:rsidTr="00E4270D">
        <w:trPr>
          <w:cantSplit/>
          <w:jc w:val="center"/>
        </w:trPr>
        <w:tc>
          <w:tcPr>
            <w:tcW w:w="735" w:type="dxa"/>
            <w:shd w:val="clear" w:color="auto" w:fill="FFFFFF"/>
          </w:tcPr>
          <w:p w14:paraId="0F631815"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Level</w:t>
            </w:r>
          </w:p>
        </w:tc>
        <w:tc>
          <w:tcPr>
            <w:tcW w:w="1009" w:type="dxa"/>
            <w:shd w:val="clear" w:color="auto" w:fill="FFFFFF"/>
          </w:tcPr>
          <w:p w14:paraId="679F9659"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Mean</w:t>
            </w:r>
          </w:p>
        </w:tc>
        <w:tc>
          <w:tcPr>
            <w:tcW w:w="1423" w:type="dxa"/>
            <w:shd w:val="clear" w:color="auto" w:fill="FFFFFF"/>
          </w:tcPr>
          <w:p w14:paraId="7057C16D"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Adjusted Mean</w:t>
            </w:r>
          </w:p>
        </w:tc>
        <w:tc>
          <w:tcPr>
            <w:tcW w:w="1423" w:type="dxa"/>
            <w:shd w:val="clear" w:color="auto" w:fill="FFFFFF"/>
          </w:tcPr>
          <w:p w14:paraId="71A45E6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i/>
                <w:iCs/>
                <w:color w:val="000000"/>
                <w:sz w:val="20"/>
                <w:szCs w:val="20"/>
              </w:rPr>
              <w:t>Std.</w:t>
            </w:r>
            <w:r w:rsidRPr="00E4270D">
              <w:rPr>
                <w:rFonts w:asciiTheme="majorBidi" w:hAnsiTheme="majorBidi" w:cstheme="majorBidi"/>
                <w:color w:val="000000"/>
                <w:sz w:val="20"/>
                <w:szCs w:val="20"/>
              </w:rPr>
              <w:t xml:space="preserve"> Deviation</w:t>
            </w:r>
          </w:p>
        </w:tc>
        <w:tc>
          <w:tcPr>
            <w:tcW w:w="1009" w:type="dxa"/>
            <w:shd w:val="clear" w:color="auto" w:fill="FFFFFF"/>
          </w:tcPr>
          <w:p w14:paraId="49C71765"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N</w:t>
            </w:r>
          </w:p>
        </w:tc>
        <w:tc>
          <w:tcPr>
            <w:tcW w:w="1009" w:type="dxa"/>
            <w:shd w:val="clear" w:color="auto" w:fill="FFFFFF"/>
          </w:tcPr>
          <w:p w14:paraId="75D96683"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F</w:t>
            </w:r>
          </w:p>
        </w:tc>
        <w:tc>
          <w:tcPr>
            <w:tcW w:w="1009" w:type="dxa"/>
            <w:shd w:val="clear" w:color="auto" w:fill="FFFFFF"/>
          </w:tcPr>
          <w:p w14:paraId="303EB437"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Sig.</w:t>
            </w:r>
          </w:p>
        </w:tc>
        <w:tc>
          <w:tcPr>
            <w:tcW w:w="1009" w:type="dxa"/>
            <w:shd w:val="clear" w:color="auto" w:fill="FFFFFF"/>
          </w:tcPr>
          <w:p w14:paraId="709468EF"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Partial Eta Squared</w:t>
            </w:r>
          </w:p>
        </w:tc>
      </w:tr>
      <w:tr w:rsidR="0062348A" w:rsidRPr="00E4270D" w14:paraId="37F09805" w14:textId="77777777" w:rsidTr="00E4270D">
        <w:trPr>
          <w:cantSplit/>
          <w:jc w:val="center"/>
        </w:trPr>
        <w:tc>
          <w:tcPr>
            <w:tcW w:w="735" w:type="dxa"/>
            <w:shd w:val="clear" w:color="auto" w:fill="FFFFFF"/>
            <w:vAlign w:val="center"/>
          </w:tcPr>
          <w:p w14:paraId="48319276"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1009" w:type="dxa"/>
            <w:shd w:val="clear" w:color="auto" w:fill="FFFFFF"/>
          </w:tcPr>
          <w:p w14:paraId="30CC8359"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4.58</w:t>
            </w:r>
          </w:p>
        </w:tc>
        <w:tc>
          <w:tcPr>
            <w:tcW w:w="1423" w:type="dxa"/>
            <w:shd w:val="clear" w:color="auto" w:fill="FFFFFF"/>
          </w:tcPr>
          <w:p w14:paraId="30D7B5F0"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4.98</w:t>
            </w:r>
          </w:p>
        </w:tc>
        <w:tc>
          <w:tcPr>
            <w:tcW w:w="1423" w:type="dxa"/>
            <w:shd w:val="clear" w:color="auto" w:fill="FFFFFF"/>
          </w:tcPr>
          <w:p w14:paraId="5E6B9266"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.73</w:t>
            </w:r>
          </w:p>
        </w:tc>
        <w:tc>
          <w:tcPr>
            <w:tcW w:w="1009" w:type="dxa"/>
            <w:shd w:val="clear" w:color="auto" w:fill="FFFFFF"/>
          </w:tcPr>
          <w:p w14:paraId="5FDC4791"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val="restart"/>
            <w:shd w:val="clear" w:color="auto" w:fill="FFFFFF"/>
          </w:tcPr>
          <w:p w14:paraId="20B270D3"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25.31</w:t>
            </w:r>
          </w:p>
        </w:tc>
        <w:tc>
          <w:tcPr>
            <w:tcW w:w="1009" w:type="dxa"/>
            <w:vMerge w:val="restart"/>
            <w:shd w:val="clear" w:color="auto" w:fill="FFFFFF"/>
          </w:tcPr>
          <w:p w14:paraId="789F1EBF"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009" w:type="dxa"/>
            <w:vMerge w:val="restart"/>
            <w:shd w:val="clear" w:color="auto" w:fill="FFFFFF"/>
          </w:tcPr>
          <w:p w14:paraId="0B6B8C43"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.61</w:t>
            </w:r>
          </w:p>
        </w:tc>
      </w:tr>
      <w:tr w:rsidR="0062348A" w:rsidRPr="00E4270D" w14:paraId="7F0D5C50" w14:textId="77777777" w:rsidTr="00E4270D">
        <w:trPr>
          <w:cantSplit/>
          <w:jc w:val="center"/>
        </w:trPr>
        <w:tc>
          <w:tcPr>
            <w:tcW w:w="735" w:type="dxa"/>
            <w:shd w:val="clear" w:color="auto" w:fill="FFFFFF"/>
            <w:vAlign w:val="center"/>
          </w:tcPr>
          <w:p w14:paraId="2404BBB4"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1009" w:type="dxa"/>
            <w:shd w:val="clear" w:color="auto" w:fill="FFFFFF"/>
          </w:tcPr>
          <w:p w14:paraId="64A1B198"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6.04</w:t>
            </w:r>
          </w:p>
        </w:tc>
        <w:tc>
          <w:tcPr>
            <w:tcW w:w="1423" w:type="dxa"/>
            <w:shd w:val="clear" w:color="auto" w:fill="FFFFFF"/>
          </w:tcPr>
          <w:p w14:paraId="2A26FFD1"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4.97</w:t>
            </w:r>
          </w:p>
        </w:tc>
        <w:tc>
          <w:tcPr>
            <w:tcW w:w="1423" w:type="dxa"/>
            <w:shd w:val="clear" w:color="auto" w:fill="FFFFFF"/>
          </w:tcPr>
          <w:p w14:paraId="3530C879"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.86</w:t>
            </w:r>
          </w:p>
        </w:tc>
        <w:tc>
          <w:tcPr>
            <w:tcW w:w="1009" w:type="dxa"/>
            <w:shd w:val="clear" w:color="auto" w:fill="FFFFFF"/>
          </w:tcPr>
          <w:p w14:paraId="2B8791BD"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shd w:val="clear" w:color="auto" w:fill="FFFFFF"/>
          </w:tcPr>
          <w:p w14:paraId="0AEED9F4"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082C1466"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1E174DB8"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r w:rsidR="0062348A" w:rsidRPr="00E4270D" w14:paraId="0D8AB8A0" w14:textId="77777777" w:rsidTr="00E4270D">
        <w:trPr>
          <w:cantSplit/>
          <w:jc w:val="center"/>
        </w:trPr>
        <w:tc>
          <w:tcPr>
            <w:tcW w:w="735" w:type="dxa"/>
            <w:shd w:val="clear" w:color="auto" w:fill="FFFFFF"/>
            <w:vAlign w:val="center"/>
          </w:tcPr>
          <w:p w14:paraId="3E9B6C6A"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1009" w:type="dxa"/>
            <w:shd w:val="clear" w:color="auto" w:fill="FFFFFF"/>
          </w:tcPr>
          <w:p w14:paraId="6B9AE204"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5.41</w:t>
            </w:r>
          </w:p>
        </w:tc>
        <w:tc>
          <w:tcPr>
            <w:tcW w:w="1423" w:type="dxa"/>
            <w:shd w:val="clear" w:color="auto" w:fill="FFFFFF"/>
          </w:tcPr>
          <w:p w14:paraId="2FDDA68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6.08</w:t>
            </w:r>
          </w:p>
        </w:tc>
        <w:tc>
          <w:tcPr>
            <w:tcW w:w="1423" w:type="dxa"/>
            <w:shd w:val="clear" w:color="auto" w:fill="FFFFFF"/>
          </w:tcPr>
          <w:p w14:paraId="654AFC55"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.41</w:t>
            </w:r>
          </w:p>
        </w:tc>
        <w:tc>
          <w:tcPr>
            <w:tcW w:w="1009" w:type="dxa"/>
            <w:shd w:val="clear" w:color="auto" w:fill="FFFFFF"/>
          </w:tcPr>
          <w:p w14:paraId="08BF40E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shd w:val="clear" w:color="auto" w:fill="FFFFFF"/>
          </w:tcPr>
          <w:p w14:paraId="2C2A2A66"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68A95947"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43D2EAE9"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bl>
    <w:p w14:paraId="1DD98CA5" w14:textId="77777777" w:rsidR="00543CF7" w:rsidRPr="007E5185" w:rsidRDefault="00543CF7" w:rsidP="001132F9">
      <w:pPr>
        <w:spacing w:line="240" w:lineRule="auto"/>
        <w:rPr>
          <w:rFonts w:asciiTheme="majorBidi" w:hAnsiTheme="majorBidi" w:cstheme="majorBidi"/>
          <w:b/>
          <w:bCs/>
          <w:sz w:val="22"/>
        </w:rPr>
      </w:pPr>
    </w:p>
    <w:p w14:paraId="3DF56A76" w14:textId="77777777" w:rsidR="00543CF7" w:rsidRPr="007E5185" w:rsidRDefault="00543CF7" w:rsidP="00E4270D">
      <w:pPr>
        <w:spacing w:after="120" w:line="240" w:lineRule="auto"/>
        <w:ind w:left="115" w:right="72"/>
        <w:jc w:val="both"/>
        <w:rPr>
          <w:rFonts w:asciiTheme="majorBidi" w:hAnsiTheme="majorBidi" w:cstheme="majorBidi"/>
          <w:b/>
          <w:bCs/>
          <w:sz w:val="22"/>
        </w:rPr>
      </w:pPr>
      <w:r w:rsidRPr="007E5185">
        <w:rPr>
          <w:rFonts w:asciiTheme="majorBidi" w:hAnsiTheme="majorBidi" w:cstheme="majorBidi"/>
          <w:sz w:val="22"/>
        </w:rPr>
        <w:t xml:space="preserve">The </w:t>
      </w:r>
      <w:r w:rsidRPr="007E5185">
        <w:rPr>
          <w:rFonts w:asciiTheme="majorBidi" w:hAnsiTheme="majorBidi" w:cstheme="majorBidi"/>
          <w:i/>
          <w:iCs/>
          <w:sz w:val="22"/>
        </w:rPr>
        <w:t xml:space="preserve">p </w:t>
      </w:r>
      <w:r w:rsidRPr="007E5185">
        <w:rPr>
          <w:rFonts w:asciiTheme="majorBidi" w:hAnsiTheme="majorBidi" w:cstheme="majorBidi"/>
          <w:sz w:val="22"/>
        </w:rPr>
        <w:t>value was less than the significance level (.00 &lt; .05), indicating that the differences among the MA, HA, and LA learners in the CG reached statistical significance.</w:t>
      </w:r>
    </w:p>
    <w:p w14:paraId="0B020684" w14:textId="77777777" w:rsidR="00902EA5" w:rsidRPr="00295A95" w:rsidRDefault="0062348A"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9B14DE" w:rsidRPr="00295A95">
        <w:rPr>
          <w:rFonts w:asciiTheme="majorBidi" w:eastAsia="Times New Roman" w:hAnsiTheme="majorBidi" w:cstheme="majorBidi"/>
          <w:sz w:val="20"/>
          <w:szCs w:val="20"/>
        </w:rPr>
        <w:t>8</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Post Hoc Test Results for the Posttest Scores of MA, HA, and LA Learners in the CG</w:t>
      </w:r>
    </w:p>
    <w:tbl>
      <w:tblPr>
        <w:tblW w:w="9360"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933"/>
        <w:gridCol w:w="978"/>
        <w:gridCol w:w="1509"/>
        <w:gridCol w:w="1015"/>
        <w:gridCol w:w="1009"/>
        <w:gridCol w:w="1469"/>
        <w:gridCol w:w="2447"/>
      </w:tblGrid>
      <w:tr w:rsidR="0062348A" w:rsidRPr="00E4270D" w14:paraId="4E7B15A2" w14:textId="77777777" w:rsidTr="00E4270D">
        <w:trPr>
          <w:cantSplit/>
          <w:jc w:val="center"/>
        </w:trPr>
        <w:tc>
          <w:tcPr>
            <w:tcW w:w="933" w:type="dxa"/>
            <w:vMerge w:val="restart"/>
            <w:shd w:val="clear" w:color="auto" w:fill="FFFFFF"/>
          </w:tcPr>
          <w:p w14:paraId="67C09AAA"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(I) Level</w:t>
            </w:r>
          </w:p>
        </w:tc>
        <w:tc>
          <w:tcPr>
            <w:tcW w:w="978" w:type="dxa"/>
            <w:vMerge w:val="restart"/>
            <w:shd w:val="clear" w:color="auto" w:fill="FFFFFF"/>
          </w:tcPr>
          <w:p w14:paraId="62FA6C1C"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(J) Level</w:t>
            </w:r>
          </w:p>
        </w:tc>
        <w:tc>
          <w:tcPr>
            <w:tcW w:w="1509" w:type="dxa"/>
            <w:vMerge w:val="restart"/>
            <w:shd w:val="clear" w:color="auto" w:fill="FFFFFF"/>
          </w:tcPr>
          <w:p w14:paraId="3C124DC8"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Mean Difference (I-J)</w:t>
            </w:r>
          </w:p>
        </w:tc>
        <w:tc>
          <w:tcPr>
            <w:tcW w:w="1015" w:type="dxa"/>
            <w:vMerge w:val="restart"/>
            <w:shd w:val="clear" w:color="auto" w:fill="FFFFFF"/>
          </w:tcPr>
          <w:p w14:paraId="253EC2CE"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i/>
                <w:iCs/>
                <w:color w:val="000000"/>
                <w:sz w:val="20"/>
                <w:szCs w:val="20"/>
              </w:rPr>
              <w:t>Std.</w:t>
            </w:r>
            <w:r w:rsidRPr="00E4270D">
              <w:rPr>
                <w:rFonts w:asciiTheme="majorBidi" w:hAnsiTheme="majorBidi" w:cstheme="majorBidi"/>
                <w:color w:val="000000"/>
                <w:sz w:val="20"/>
                <w:szCs w:val="20"/>
              </w:rPr>
              <w:t xml:space="preserve"> Error</w:t>
            </w:r>
          </w:p>
        </w:tc>
        <w:tc>
          <w:tcPr>
            <w:tcW w:w="1009" w:type="dxa"/>
            <w:vMerge w:val="restart"/>
            <w:shd w:val="clear" w:color="auto" w:fill="FFFFFF"/>
          </w:tcPr>
          <w:p w14:paraId="73C427CF"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Sig.</w:t>
            </w:r>
          </w:p>
        </w:tc>
        <w:tc>
          <w:tcPr>
            <w:tcW w:w="3916" w:type="dxa"/>
            <w:gridSpan w:val="2"/>
            <w:shd w:val="clear" w:color="auto" w:fill="FFFFFF"/>
          </w:tcPr>
          <w:p w14:paraId="47381B46"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95% Confidence Interval for Difference</w:t>
            </w:r>
          </w:p>
        </w:tc>
      </w:tr>
      <w:tr w:rsidR="0062348A" w:rsidRPr="00E4270D" w14:paraId="3D8216E7" w14:textId="77777777" w:rsidTr="00E4270D">
        <w:trPr>
          <w:cantSplit/>
          <w:jc w:val="center"/>
        </w:trPr>
        <w:tc>
          <w:tcPr>
            <w:tcW w:w="933" w:type="dxa"/>
            <w:vMerge/>
            <w:shd w:val="clear" w:color="auto" w:fill="FFFFFF"/>
          </w:tcPr>
          <w:p w14:paraId="62F9D372" w14:textId="77777777" w:rsidR="0062348A" w:rsidRPr="00E4270D" w:rsidRDefault="0062348A" w:rsidP="001132F9">
            <w:pPr>
              <w:autoSpaceDE w:val="0"/>
              <w:autoSpaceDN w:val="0"/>
              <w:adjustRightInd w:val="0"/>
              <w:spacing w:after="0" w:line="240" w:lineRule="auto"/>
              <w:rPr>
                <w:rFonts w:asciiTheme="majorBidi" w:hAnsiTheme="majorBidi" w:cstheme="majorBidi"/>
                <w:color w:val="000000"/>
                <w:sz w:val="20"/>
                <w:szCs w:val="20"/>
              </w:rPr>
            </w:pPr>
          </w:p>
        </w:tc>
        <w:tc>
          <w:tcPr>
            <w:tcW w:w="978" w:type="dxa"/>
            <w:vMerge/>
            <w:shd w:val="clear" w:color="auto" w:fill="FFFFFF"/>
          </w:tcPr>
          <w:p w14:paraId="2531B653" w14:textId="77777777" w:rsidR="0062348A" w:rsidRPr="00E4270D" w:rsidRDefault="0062348A" w:rsidP="001132F9">
            <w:pPr>
              <w:autoSpaceDE w:val="0"/>
              <w:autoSpaceDN w:val="0"/>
              <w:adjustRightInd w:val="0"/>
              <w:spacing w:after="0" w:line="240" w:lineRule="auto"/>
              <w:rPr>
                <w:rFonts w:asciiTheme="majorBidi" w:hAnsiTheme="majorBidi" w:cstheme="majorBidi"/>
                <w:color w:val="000000"/>
                <w:sz w:val="20"/>
                <w:szCs w:val="20"/>
              </w:rPr>
            </w:pPr>
          </w:p>
        </w:tc>
        <w:tc>
          <w:tcPr>
            <w:tcW w:w="1509" w:type="dxa"/>
            <w:vMerge/>
            <w:shd w:val="clear" w:color="auto" w:fill="FFFFFF"/>
          </w:tcPr>
          <w:p w14:paraId="7F2C55EE" w14:textId="77777777" w:rsidR="0062348A" w:rsidRPr="00E4270D" w:rsidRDefault="0062348A"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1015" w:type="dxa"/>
            <w:vMerge/>
            <w:shd w:val="clear" w:color="auto" w:fill="FFFFFF"/>
          </w:tcPr>
          <w:p w14:paraId="62E98C1C" w14:textId="77777777" w:rsidR="0062348A" w:rsidRPr="00E4270D" w:rsidRDefault="0062348A"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1009" w:type="dxa"/>
            <w:vMerge/>
            <w:shd w:val="clear" w:color="auto" w:fill="FFFFFF"/>
          </w:tcPr>
          <w:p w14:paraId="34B109BB" w14:textId="77777777" w:rsidR="0062348A" w:rsidRPr="00E4270D" w:rsidRDefault="0062348A" w:rsidP="001132F9">
            <w:pPr>
              <w:autoSpaceDE w:val="0"/>
              <w:autoSpaceDN w:val="0"/>
              <w:adjustRightInd w:val="0"/>
              <w:spacing w:after="0" w:line="240" w:lineRule="auto"/>
              <w:jc w:val="center"/>
              <w:rPr>
                <w:rFonts w:asciiTheme="majorBidi" w:hAnsiTheme="majorBidi" w:cstheme="majorBidi"/>
                <w:color w:val="000000"/>
                <w:sz w:val="20"/>
                <w:szCs w:val="20"/>
              </w:rPr>
            </w:pPr>
          </w:p>
        </w:tc>
        <w:tc>
          <w:tcPr>
            <w:tcW w:w="1469" w:type="dxa"/>
            <w:shd w:val="clear" w:color="auto" w:fill="FFFFFF"/>
          </w:tcPr>
          <w:p w14:paraId="06CF1292"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Lower Bound</w:t>
            </w:r>
          </w:p>
        </w:tc>
        <w:tc>
          <w:tcPr>
            <w:tcW w:w="2447" w:type="dxa"/>
            <w:shd w:val="clear" w:color="auto" w:fill="FFFFFF"/>
          </w:tcPr>
          <w:p w14:paraId="51081107"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Upper Bound</w:t>
            </w:r>
          </w:p>
        </w:tc>
      </w:tr>
      <w:tr w:rsidR="0062348A" w:rsidRPr="00E4270D" w14:paraId="7153D58D" w14:textId="77777777" w:rsidTr="00E4270D">
        <w:trPr>
          <w:cantSplit/>
          <w:jc w:val="center"/>
        </w:trPr>
        <w:tc>
          <w:tcPr>
            <w:tcW w:w="933" w:type="dxa"/>
            <w:vMerge w:val="restart"/>
            <w:shd w:val="clear" w:color="auto" w:fill="FFFFFF"/>
            <w:vAlign w:val="center"/>
          </w:tcPr>
          <w:p w14:paraId="42B58232"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978" w:type="dxa"/>
            <w:shd w:val="clear" w:color="auto" w:fill="FFFFFF"/>
            <w:vAlign w:val="center"/>
          </w:tcPr>
          <w:p w14:paraId="48508FAE"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1509" w:type="dxa"/>
            <w:shd w:val="clear" w:color="auto" w:fill="FFFFFF"/>
          </w:tcPr>
          <w:p w14:paraId="55A4E60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015" w:type="dxa"/>
            <w:shd w:val="clear" w:color="auto" w:fill="FFFFFF"/>
          </w:tcPr>
          <w:p w14:paraId="321A1A0D"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.22</w:t>
            </w:r>
          </w:p>
        </w:tc>
        <w:tc>
          <w:tcPr>
            <w:tcW w:w="1009" w:type="dxa"/>
            <w:shd w:val="clear" w:color="auto" w:fill="FFFFFF"/>
          </w:tcPr>
          <w:p w14:paraId="2E662756"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1.00</w:t>
            </w:r>
          </w:p>
        </w:tc>
        <w:tc>
          <w:tcPr>
            <w:tcW w:w="1469" w:type="dxa"/>
            <w:shd w:val="clear" w:color="auto" w:fill="FFFFFF"/>
          </w:tcPr>
          <w:p w14:paraId="1FFFD414"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-.56</w:t>
            </w:r>
          </w:p>
        </w:tc>
        <w:tc>
          <w:tcPr>
            <w:tcW w:w="2447" w:type="dxa"/>
            <w:shd w:val="clear" w:color="auto" w:fill="FFFFFF"/>
          </w:tcPr>
          <w:p w14:paraId="3477C1D5"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.57</w:t>
            </w:r>
          </w:p>
        </w:tc>
      </w:tr>
      <w:tr w:rsidR="0062348A" w:rsidRPr="00E4270D" w14:paraId="5130A62B" w14:textId="77777777" w:rsidTr="00E4270D">
        <w:trPr>
          <w:cantSplit/>
          <w:jc w:val="center"/>
        </w:trPr>
        <w:tc>
          <w:tcPr>
            <w:tcW w:w="933" w:type="dxa"/>
            <w:vMerge/>
            <w:shd w:val="clear" w:color="auto" w:fill="FFFFFF"/>
            <w:vAlign w:val="center"/>
          </w:tcPr>
          <w:p w14:paraId="383485DF" w14:textId="77777777" w:rsidR="0062348A" w:rsidRPr="00E4270D" w:rsidRDefault="0062348A" w:rsidP="001132F9">
            <w:pPr>
              <w:autoSpaceDE w:val="0"/>
              <w:autoSpaceDN w:val="0"/>
              <w:adjustRightInd w:val="0"/>
              <w:spacing w:after="0" w:line="240" w:lineRule="auto"/>
              <w:rPr>
                <w:rFonts w:asciiTheme="majorBidi" w:hAnsiTheme="majorBidi" w:cstheme="majorBidi"/>
                <w:color w:val="000000"/>
                <w:sz w:val="20"/>
                <w:szCs w:val="20"/>
              </w:rPr>
            </w:pPr>
          </w:p>
        </w:tc>
        <w:tc>
          <w:tcPr>
            <w:tcW w:w="978" w:type="dxa"/>
            <w:shd w:val="clear" w:color="auto" w:fill="FFFFFF"/>
            <w:vAlign w:val="center"/>
          </w:tcPr>
          <w:p w14:paraId="52009B65"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1509" w:type="dxa"/>
            <w:shd w:val="clear" w:color="auto" w:fill="FFFFFF"/>
          </w:tcPr>
          <w:p w14:paraId="7C56544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-1.10</w:t>
            </w:r>
            <w:r w:rsidRPr="00E4270D">
              <w:rPr>
                <w:rFonts w:asciiTheme="majorBidi" w:hAnsiTheme="majorBidi" w:cstheme="majorBidi"/>
                <w:color w:val="000000"/>
                <w:sz w:val="20"/>
                <w:szCs w:val="20"/>
                <w:vertAlign w:val="superscript"/>
              </w:rPr>
              <w:t>*</w:t>
            </w:r>
          </w:p>
        </w:tc>
        <w:tc>
          <w:tcPr>
            <w:tcW w:w="1015" w:type="dxa"/>
            <w:shd w:val="clear" w:color="auto" w:fill="FFFFFF"/>
          </w:tcPr>
          <w:p w14:paraId="16ECC2F3"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.15</w:t>
            </w:r>
          </w:p>
        </w:tc>
        <w:tc>
          <w:tcPr>
            <w:tcW w:w="1009" w:type="dxa"/>
            <w:shd w:val="clear" w:color="auto" w:fill="FFFFFF"/>
          </w:tcPr>
          <w:p w14:paraId="13FFA7F1"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469" w:type="dxa"/>
            <w:shd w:val="clear" w:color="auto" w:fill="FFFFFF"/>
          </w:tcPr>
          <w:p w14:paraId="51DA7CDA"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-1.50</w:t>
            </w:r>
          </w:p>
        </w:tc>
        <w:tc>
          <w:tcPr>
            <w:tcW w:w="2447" w:type="dxa"/>
            <w:shd w:val="clear" w:color="auto" w:fill="FFFFFF"/>
          </w:tcPr>
          <w:p w14:paraId="45F488C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-.70</w:t>
            </w:r>
          </w:p>
        </w:tc>
      </w:tr>
      <w:tr w:rsidR="0062348A" w:rsidRPr="00E4270D" w14:paraId="159E0BAB" w14:textId="77777777" w:rsidTr="00E4270D">
        <w:trPr>
          <w:cantSplit/>
          <w:jc w:val="center"/>
        </w:trPr>
        <w:tc>
          <w:tcPr>
            <w:tcW w:w="933" w:type="dxa"/>
            <w:vMerge w:val="restart"/>
            <w:shd w:val="clear" w:color="auto" w:fill="FFFFFF"/>
            <w:vAlign w:val="center"/>
          </w:tcPr>
          <w:p w14:paraId="526391F7"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978" w:type="dxa"/>
            <w:shd w:val="clear" w:color="auto" w:fill="FFFFFF"/>
            <w:vAlign w:val="center"/>
          </w:tcPr>
          <w:p w14:paraId="50E3A279"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1509" w:type="dxa"/>
            <w:shd w:val="clear" w:color="auto" w:fill="FFFFFF"/>
          </w:tcPr>
          <w:p w14:paraId="47DCCB75"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015" w:type="dxa"/>
            <w:shd w:val="clear" w:color="auto" w:fill="FFFFFF"/>
          </w:tcPr>
          <w:p w14:paraId="7C7616A0"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.22</w:t>
            </w:r>
          </w:p>
        </w:tc>
        <w:tc>
          <w:tcPr>
            <w:tcW w:w="1009" w:type="dxa"/>
            <w:shd w:val="clear" w:color="auto" w:fill="FFFFFF"/>
          </w:tcPr>
          <w:p w14:paraId="594EF122"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1.00</w:t>
            </w:r>
          </w:p>
        </w:tc>
        <w:tc>
          <w:tcPr>
            <w:tcW w:w="1469" w:type="dxa"/>
            <w:shd w:val="clear" w:color="auto" w:fill="FFFFFF"/>
          </w:tcPr>
          <w:p w14:paraId="44858CAD"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-.57</w:t>
            </w:r>
          </w:p>
        </w:tc>
        <w:tc>
          <w:tcPr>
            <w:tcW w:w="2447" w:type="dxa"/>
            <w:shd w:val="clear" w:color="auto" w:fill="FFFFFF"/>
          </w:tcPr>
          <w:p w14:paraId="5272B531"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.56</w:t>
            </w:r>
          </w:p>
        </w:tc>
      </w:tr>
      <w:tr w:rsidR="0062348A" w:rsidRPr="00E4270D" w14:paraId="01FF3AD7" w14:textId="77777777" w:rsidTr="00E4270D">
        <w:trPr>
          <w:cantSplit/>
          <w:jc w:val="center"/>
        </w:trPr>
        <w:tc>
          <w:tcPr>
            <w:tcW w:w="933" w:type="dxa"/>
            <w:vMerge/>
            <w:shd w:val="clear" w:color="auto" w:fill="FFFFFF"/>
            <w:vAlign w:val="center"/>
          </w:tcPr>
          <w:p w14:paraId="6B32640E" w14:textId="77777777" w:rsidR="0062348A" w:rsidRPr="00E4270D" w:rsidRDefault="0062348A" w:rsidP="001132F9">
            <w:pPr>
              <w:autoSpaceDE w:val="0"/>
              <w:autoSpaceDN w:val="0"/>
              <w:adjustRightInd w:val="0"/>
              <w:spacing w:after="0" w:line="240" w:lineRule="auto"/>
              <w:rPr>
                <w:rFonts w:asciiTheme="majorBidi" w:hAnsiTheme="majorBidi" w:cstheme="majorBidi"/>
                <w:color w:val="000000"/>
                <w:sz w:val="20"/>
                <w:szCs w:val="20"/>
              </w:rPr>
            </w:pPr>
          </w:p>
        </w:tc>
        <w:tc>
          <w:tcPr>
            <w:tcW w:w="978" w:type="dxa"/>
            <w:shd w:val="clear" w:color="auto" w:fill="FFFFFF"/>
            <w:vAlign w:val="center"/>
          </w:tcPr>
          <w:p w14:paraId="07354B20"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1509" w:type="dxa"/>
            <w:shd w:val="clear" w:color="auto" w:fill="FFFFFF"/>
          </w:tcPr>
          <w:p w14:paraId="228FBC9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-1.11</w:t>
            </w:r>
            <w:r w:rsidRPr="00E4270D">
              <w:rPr>
                <w:rFonts w:asciiTheme="majorBidi" w:hAnsiTheme="majorBidi" w:cstheme="majorBidi"/>
                <w:color w:val="000000"/>
                <w:sz w:val="20"/>
                <w:szCs w:val="20"/>
                <w:vertAlign w:val="superscript"/>
              </w:rPr>
              <w:t>*</w:t>
            </w:r>
          </w:p>
        </w:tc>
        <w:tc>
          <w:tcPr>
            <w:tcW w:w="1015" w:type="dxa"/>
            <w:shd w:val="clear" w:color="auto" w:fill="FFFFFF"/>
          </w:tcPr>
          <w:p w14:paraId="7F433FB3"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.25</w:t>
            </w:r>
          </w:p>
        </w:tc>
        <w:tc>
          <w:tcPr>
            <w:tcW w:w="1009" w:type="dxa"/>
            <w:shd w:val="clear" w:color="auto" w:fill="FFFFFF"/>
          </w:tcPr>
          <w:p w14:paraId="51EFBB79"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469" w:type="dxa"/>
            <w:shd w:val="clear" w:color="auto" w:fill="FFFFFF"/>
          </w:tcPr>
          <w:p w14:paraId="74F7FE20"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-1.74</w:t>
            </w:r>
          </w:p>
        </w:tc>
        <w:tc>
          <w:tcPr>
            <w:tcW w:w="2447" w:type="dxa"/>
            <w:shd w:val="clear" w:color="auto" w:fill="FFFFFF"/>
          </w:tcPr>
          <w:p w14:paraId="68DD046A"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-.48</w:t>
            </w:r>
          </w:p>
        </w:tc>
      </w:tr>
      <w:tr w:rsidR="0062348A" w:rsidRPr="00E4270D" w14:paraId="425503BD" w14:textId="77777777" w:rsidTr="00E4270D">
        <w:trPr>
          <w:cantSplit/>
          <w:jc w:val="center"/>
        </w:trPr>
        <w:tc>
          <w:tcPr>
            <w:tcW w:w="933" w:type="dxa"/>
            <w:vMerge w:val="restart"/>
            <w:shd w:val="clear" w:color="auto" w:fill="FFFFFF"/>
            <w:vAlign w:val="center"/>
          </w:tcPr>
          <w:p w14:paraId="378105E6"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LA</w:t>
            </w:r>
          </w:p>
        </w:tc>
        <w:tc>
          <w:tcPr>
            <w:tcW w:w="978" w:type="dxa"/>
            <w:shd w:val="clear" w:color="auto" w:fill="FFFFFF"/>
            <w:vAlign w:val="center"/>
          </w:tcPr>
          <w:p w14:paraId="6BCC2072"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MA</w:t>
            </w:r>
          </w:p>
        </w:tc>
        <w:tc>
          <w:tcPr>
            <w:tcW w:w="1509" w:type="dxa"/>
            <w:shd w:val="clear" w:color="auto" w:fill="FFFFFF"/>
          </w:tcPr>
          <w:p w14:paraId="1105A8B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1.10</w:t>
            </w:r>
            <w:r w:rsidRPr="00E4270D">
              <w:rPr>
                <w:rFonts w:asciiTheme="majorBidi" w:hAnsiTheme="majorBidi" w:cstheme="majorBidi"/>
                <w:color w:val="000000"/>
                <w:sz w:val="20"/>
                <w:szCs w:val="20"/>
                <w:vertAlign w:val="superscript"/>
              </w:rPr>
              <w:t>*</w:t>
            </w:r>
          </w:p>
        </w:tc>
        <w:tc>
          <w:tcPr>
            <w:tcW w:w="1015" w:type="dxa"/>
            <w:shd w:val="clear" w:color="auto" w:fill="FFFFFF"/>
          </w:tcPr>
          <w:p w14:paraId="2126D664"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.15</w:t>
            </w:r>
          </w:p>
        </w:tc>
        <w:tc>
          <w:tcPr>
            <w:tcW w:w="1009" w:type="dxa"/>
            <w:shd w:val="clear" w:color="auto" w:fill="FFFFFF"/>
          </w:tcPr>
          <w:p w14:paraId="69FB869A"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469" w:type="dxa"/>
            <w:shd w:val="clear" w:color="auto" w:fill="FFFFFF"/>
          </w:tcPr>
          <w:p w14:paraId="7167BEB3"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.70</w:t>
            </w:r>
          </w:p>
        </w:tc>
        <w:tc>
          <w:tcPr>
            <w:tcW w:w="2447" w:type="dxa"/>
            <w:shd w:val="clear" w:color="auto" w:fill="FFFFFF"/>
          </w:tcPr>
          <w:p w14:paraId="340BC36D"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1.50</w:t>
            </w:r>
          </w:p>
        </w:tc>
      </w:tr>
      <w:tr w:rsidR="0062348A" w:rsidRPr="00E4270D" w14:paraId="42D20024" w14:textId="77777777" w:rsidTr="00E4270D">
        <w:trPr>
          <w:cantSplit/>
          <w:jc w:val="center"/>
        </w:trPr>
        <w:tc>
          <w:tcPr>
            <w:tcW w:w="933" w:type="dxa"/>
            <w:vMerge/>
            <w:shd w:val="clear" w:color="auto" w:fill="FFFFFF"/>
            <w:vAlign w:val="center"/>
          </w:tcPr>
          <w:p w14:paraId="527D4D04" w14:textId="77777777" w:rsidR="0062348A" w:rsidRPr="00E4270D" w:rsidRDefault="0062348A" w:rsidP="001132F9">
            <w:pPr>
              <w:autoSpaceDE w:val="0"/>
              <w:autoSpaceDN w:val="0"/>
              <w:adjustRightInd w:val="0"/>
              <w:spacing w:after="0" w:line="240" w:lineRule="auto"/>
              <w:rPr>
                <w:rFonts w:asciiTheme="majorBidi" w:hAnsiTheme="majorBidi" w:cstheme="majorBidi"/>
                <w:color w:val="000000"/>
                <w:sz w:val="20"/>
                <w:szCs w:val="20"/>
              </w:rPr>
            </w:pPr>
          </w:p>
        </w:tc>
        <w:tc>
          <w:tcPr>
            <w:tcW w:w="978" w:type="dxa"/>
            <w:shd w:val="clear" w:color="auto" w:fill="FFFFFF"/>
            <w:vAlign w:val="center"/>
          </w:tcPr>
          <w:p w14:paraId="2C0066C0" w14:textId="77777777" w:rsidR="0062348A" w:rsidRPr="00E4270D" w:rsidRDefault="0062348A"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HA</w:t>
            </w:r>
          </w:p>
        </w:tc>
        <w:tc>
          <w:tcPr>
            <w:tcW w:w="1509" w:type="dxa"/>
            <w:shd w:val="clear" w:color="auto" w:fill="FFFFFF"/>
          </w:tcPr>
          <w:p w14:paraId="2672947D"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1.11</w:t>
            </w:r>
            <w:r w:rsidRPr="00E4270D">
              <w:rPr>
                <w:rFonts w:asciiTheme="majorBidi" w:hAnsiTheme="majorBidi" w:cstheme="majorBidi"/>
                <w:color w:val="000000"/>
                <w:sz w:val="20"/>
                <w:szCs w:val="20"/>
                <w:vertAlign w:val="superscript"/>
              </w:rPr>
              <w:t>*</w:t>
            </w:r>
          </w:p>
        </w:tc>
        <w:tc>
          <w:tcPr>
            <w:tcW w:w="1015" w:type="dxa"/>
            <w:shd w:val="clear" w:color="auto" w:fill="FFFFFF"/>
          </w:tcPr>
          <w:p w14:paraId="14B756DB"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.25</w:t>
            </w:r>
          </w:p>
        </w:tc>
        <w:tc>
          <w:tcPr>
            <w:tcW w:w="1009" w:type="dxa"/>
            <w:shd w:val="clear" w:color="auto" w:fill="FFFFFF"/>
          </w:tcPr>
          <w:p w14:paraId="588BC20F"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.00</w:t>
            </w:r>
          </w:p>
        </w:tc>
        <w:tc>
          <w:tcPr>
            <w:tcW w:w="1469" w:type="dxa"/>
            <w:shd w:val="clear" w:color="auto" w:fill="FFFFFF"/>
          </w:tcPr>
          <w:p w14:paraId="04A0A3A0"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.48</w:t>
            </w:r>
          </w:p>
        </w:tc>
        <w:tc>
          <w:tcPr>
            <w:tcW w:w="2447" w:type="dxa"/>
            <w:shd w:val="clear" w:color="auto" w:fill="FFFFFF"/>
          </w:tcPr>
          <w:p w14:paraId="21B1F35D" w14:textId="77777777" w:rsidR="0062348A" w:rsidRPr="00E4270D" w:rsidRDefault="0062348A"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1.74</w:t>
            </w:r>
          </w:p>
        </w:tc>
      </w:tr>
    </w:tbl>
    <w:p w14:paraId="0D5C3840" w14:textId="77777777" w:rsidR="008F3EAE" w:rsidRPr="007E5185" w:rsidRDefault="008F3EAE" w:rsidP="001132F9">
      <w:pPr>
        <w:autoSpaceDE w:val="0"/>
        <w:autoSpaceDN w:val="0"/>
        <w:adjustRightInd w:val="0"/>
        <w:spacing w:after="0" w:line="240" w:lineRule="auto"/>
        <w:rPr>
          <w:rFonts w:asciiTheme="majorBidi" w:hAnsiTheme="majorBidi" w:cstheme="majorBidi"/>
          <w:sz w:val="22"/>
        </w:rPr>
      </w:pPr>
    </w:p>
    <w:p w14:paraId="25E6BA8E" w14:textId="77777777" w:rsidR="002810AD" w:rsidRPr="007E5185" w:rsidRDefault="008F3EAE" w:rsidP="00E4270D">
      <w:pPr>
        <w:autoSpaceDE w:val="0"/>
        <w:autoSpaceDN w:val="0"/>
        <w:adjustRightInd w:val="0"/>
        <w:spacing w:after="120" w:line="240" w:lineRule="auto"/>
        <w:ind w:left="115" w:right="72"/>
        <w:jc w:val="both"/>
        <w:rPr>
          <w:rFonts w:asciiTheme="majorBidi" w:hAnsiTheme="majorBidi" w:cstheme="majorBidi"/>
          <w:sz w:val="22"/>
        </w:rPr>
      </w:pPr>
      <w:r w:rsidRPr="007E5185">
        <w:rPr>
          <w:rFonts w:asciiTheme="majorBidi" w:hAnsiTheme="majorBidi" w:cstheme="majorBidi"/>
          <w:sz w:val="22"/>
        </w:rPr>
        <w:t>The difference between the MA (</w:t>
      </w:r>
      <w:r w:rsidRPr="007E5185">
        <w:rPr>
          <w:rFonts w:asciiTheme="majorBidi" w:hAnsiTheme="majorBidi" w:cstheme="majorBidi"/>
          <w:i/>
          <w:iCs/>
          <w:sz w:val="22"/>
        </w:rPr>
        <w:t xml:space="preserve">M </w:t>
      </w:r>
      <w:r w:rsidRPr="007E5185">
        <w:rPr>
          <w:rFonts w:asciiTheme="majorBidi" w:hAnsiTheme="majorBidi" w:cstheme="majorBidi"/>
          <w:sz w:val="22"/>
        </w:rPr>
        <w:t>= 4.98) and LA (</w:t>
      </w:r>
      <w:r w:rsidRPr="007E5185">
        <w:rPr>
          <w:rFonts w:asciiTheme="majorBidi" w:hAnsiTheme="majorBidi" w:cstheme="majorBidi"/>
          <w:i/>
          <w:iCs/>
          <w:sz w:val="22"/>
        </w:rPr>
        <w:t xml:space="preserve">M </w:t>
      </w:r>
      <w:r w:rsidRPr="007E5185">
        <w:rPr>
          <w:rFonts w:asciiTheme="majorBidi" w:hAnsiTheme="majorBidi" w:cstheme="majorBidi"/>
          <w:sz w:val="22"/>
        </w:rPr>
        <w:t>= 6.08) learners in the CG was found to be statistically significant. Also there was a significant difference between the HA (</w:t>
      </w:r>
      <w:r w:rsidRPr="007E5185">
        <w:rPr>
          <w:rFonts w:asciiTheme="majorBidi" w:hAnsiTheme="majorBidi" w:cstheme="majorBidi"/>
          <w:i/>
          <w:iCs/>
          <w:sz w:val="22"/>
        </w:rPr>
        <w:t xml:space="preserve">M </w:t>
      </w:r>
      <w:r w:rsidRPr="007E5185">
        <w:rPr>
          <w:rFonts w:asciiTheme="majorBidi" w:hAnsiTheme="majorBidi" w:cstheme="majorBidi"/>
          <w:sz w:val="22"/>
        </w:rPr>
        <w:t>= 4.97) and LA</w:t>
      </w:r>
      <w:r w:rsidR="00FD489B" w:rsidRPr="007E5185">
        <w:rPr>
          <w:rFonts w:asciiTheme="majorBidi" w:hAnsiTheme="majorBidi" w:cstheme="majorBidi"/>
          <w:sz w:val="22"/>
        </w:rPr>
        <w:t xml:space="preserve"> (</w:t>
      </w:r>
      <w:r w:rsidR="00FD489B" w:rsidRPr="007E5185">
        <w:rPr>
          <w:rFonts w:asciiTheme="majorBidi" w:hAnsiTheme="majorBidi" w:cstheme="majorBidi"/>
          <w:i/>
          <w:iCs/>
          <w:sz w:val="22"/>
        </w:rPr>
        <w:t xml:space="preserve">M </w:t>
      </w:r>
      <w:r w:rsidR="00FD489B" w:rsidRPr="007E5185">
        <w:rPr>
          <w:rFonts w:asciiTheme="majorBidi" w:hAnsiTheme="majorBidi" w:cstheme="majorBidi"/>
          <w:sz w:val="22"/>
        </w:rPr>
        <w:t>= 6.08)</w:t>
      </w:r>
      <w:r w:rsidRPr="007E5185">
        <w:rPr>
          <w:rFonts w:asciiTheme="majorBidi" w:hAnsiTheme="majorBidi" w:cstheme="majorBidi"/>
          <w:sz w:val="22"/>
        </w:rPr>
        <w:t xml:space="preserve"> learners, but the difference between MA and HA learners in the CG was not of statistical significance.</w:t>
      </w:r>
    </w:p>
    <w:p w14:paraId="1F8FA21E" w14:textId="77777777" w:rsidR="008F3EAE" w:rsidRPr="007E5185" w:rsidRDefault="003E41EC" w:rsidP="00146C86">
      <w:pPr>
        <w:autoSpaceDE w:val="0"/>
        <w:autoSpaceDN w:val="0"/>
        <w:adjustRightInd w:val="0"/>
        <w:spacing w:after="120" w:line="240" w:lineRule="auto"/>
        <w:ind w:left="115" w:right="72" w:firstLine="562"/>
        <w:jc w:val="both"/>
        <w:rPr>
          <w:rFonts w:asciiTheme="majorBidi" w:hAnsiTheme="majorBidi" w:cstheme="majorBidi"/>
          <w:sz w:val="22"/>
        </w:rPr>
      </w:pPr>
      <w:r w:rsidRPr="007E5185">
        <w:rPr>
          <w:rFonts w:asciiTheme="majorBidi" w:hAnsiTheme="majorBidi" w:cstheme="majorBidi"/>
          <w:sz w:val="22"/>
        </w:rPr>
        <w:t>On the posttest, the mean scores of MA learners in the EG (</w:t>
      </w:r>
      <w:r w:rsidRPr="007E5185">
        <w:rPr>
          <w:rFonts w:asciiTheme="majorBidi" w:hAnsiTheme="majorBidi" w:cstheme="majorBidi"/>
          <w:i/>
          <w:iCs/>
          <w:sz w:val="22"/>
        </w:rPr>
        <w:t xml:space="preserve">M </w:t>
      </w:r>
      <w:r w:rsidRPr="007E5185">
        <w:rPr>
          <w:rFonts w:asciiTheme="majorBidi" w:hAnsiTheme="majorBidi" w:cstheme="majorBidi"/>
          <w:sz w:val="22"/>
        </w:rPr>
        <w:t>= 5.50) was greater than the mean score of their counterparts in the CG (</w:t>
      </w:r>
      <w:r w:rsidRPr="007E5185">
        <w:rPr>
          <w:rFonts w:asciiTheme="majorBidi" w:hAnsiTheme="majorBidi" w:cstheme="majorBidi"/>
          <w:i/>
          <w:iCs/>
          <w:sz w:val="22"/>
        </w:rPr>
        <w:t xml:space="preserve">M </w:t>
      </w:r>
      <w:r w:rsidRPr="007E5185">
        <w:rPr>
          <w:rFonts w:asciiTheme="majorBidi" w:hAnsiTheme="majorBidi" w:cstheme="majorBidi"/>
          <w:sz w:val="22"/>
        </w:rPr>
        <w:t xml:space="preserve">= 4.58). </w:t>
      </w:r>
      <w:r w:rsidR="008F3EAE" w:rsidRPr="007E5185">
        <w:rPr>
          <w:rFonts w:asciiTheme="majorBidi" w:hAnsiTheme="majorBidi" w:cstheme="majorBidi"/>
          <w:sz w:val="22"/>
        </w:rPr>
        <w:t>To come up with more illuminating results regarding the second research question of the study, the posttest scores of the MA learners in the EG and CG were c</w:t>
      </w:r>
      <w:r w:rsidR="008233C1" w:rsidRPr="007E5185">
        <w:rPr>
          <w:rFonts w:asciiTheme="majorBidi" w:hAnsiTheme="majorBidi" w:cstheme="majorBidi"/>
          <w:sz w:val="22"/>
        </w:rPr>
        <w:t>ompared using a one-way ANCOVA.</w:t>
      </w:r>
    </w:p>
    <w:p w14:paraId="644B2C24" w14:textId="77777777" w:rsidR="00FD489B" w:rsidRPr="007E5185" w:rsidRDefault="00FD489B" w:rsidP="001132F9">
      <w:pPr>
        <w:autoSpaceDE w:val="0"/>
        <w:autoSpaceDN w:val="0"/>
        <w:adjustRightInd w:val="0"/>
        <w:spacing w:after="0" w:line="240" w:lineRule="auto"/>
        <w:jc w:val="both"/>
        <w:rPr>
          <w:rFonts w:asciiTheme="majorBidi" w:hAnsiTheme="majorBidi" w:cstheme="majorBidi"/>
          <w:sz w:val="22"/>
        </w:rPr>
      </w:pPr>
    </w:p>
    <w:p w14:paraId="32E959B7" w14:textId="77777777" w:rsidR="003E41EC" w:rsidRPr="00295A95" w:rsidRDefault="003E41EC"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9B14DE" w:rsidRPr="00295A95">
        <w:rPr>
          <w:rFonts w:asciiTheme="majorBidi" w:eastAsia="Times New Roman" w:hAnsiTheme="majorBidi" w:cstheme="majorBidi"/>
          <w:sz w:val="20"/>
          <w:szCs w:val="20"/>
        </w:rPr>
        <w:t>9</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One-Way ANCOVA Results for the Posttest Scores of MA Learners in the EG and CG</w:t>
      </w:r>
    </w:p>
    <w:tbl>
      <w:tblPr>
        <w:tblW w:w="9360"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903"/>
        <w:gridCol w:w="1009"/>
        <w:gridCol w:w="1423"/>
        <w:gridCol w:w="1009"/>
        <w:gridCol w:w="1009"/>
        <w:gridCol w:w="1009"/>
        <w:gridCol w:w="2998"/>
      </w:tblGrid>
      <w:tr w:rsidR="003E41EC" w:rsidRPr="00E4270D" w14:paraId="4A470920" w14:textId="77777777" w:rsidTr="00E4270D">
        <w:trPr>
          <w:cantSplit/>
          <w:jc w:val="center"/>
        </w:trPr>
        <w:tc>
          <w:tcPr>
            <w:tcW w:w="903" w:type="dxa"/>
            <w:shd w:val="clear" w:color="auto" w:fill="FFFFFF"/>
          </w:tcPr>
          <w:p w14:paraId="3D2385E4"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Groups</w:t>
            </w:r>
          </w:p>
        </w:tc>
        <w:tc>
          <w:tcPr>
            <w:tcW w:w="1009" w:type="dxa"/>
            <w:shd w:val="clear" w:color="auto" w:fill="FFFFFF"/>
          </w:tcPr>
          <w:p w14:paraId="16D44F73"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Mean</w:t>
            </w:r>
          </w:p>
        </w:tc>
        <w:tc>
          <w:tcPr>
            <w:tcW w:w="1423" w:type="dxa"/>
            <w:shd w:val="clear" w:color="auto" w:fill="FFFFFF"/>
          </w:tcPr>
          <w:p w14:paraId="69F8BD86"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i/>
                <w:iCs/>
                <w:color w:val="000000"/>
                <w:sz w:val="20"/>
                <w:szCs w:val="20"/>
              </w:rPr>
              <w:t>Std.</w:t>
            </w:r>
            <w:r w:rsidRPr="00E4270D">
              <w:rPr>
                <w:rFonts w:asciiTheme="majorBidi" w:hAnsiTheme="majorBidi" w:cstheme="majorBidi"/>
                <w:color w:val="000000"/>
                <w:sz w:val="20"/>
                <w:szCs w:val="20"/>
              </w:rPr>
              <w:t xml:space="preserve"> Deviation</w:t>
            </w:r>
          </w:p>
        </w:tc>
        <w:tc>
          <w:tcPr>
            <w:tcW w:w="1009" w:type="dxa"/>
            <w:shd w:val="clear" w:color="auto" w:fill="FFFFFF"/>
          </w:tcPr>
          <w:p w14:paraId="068BBA37"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N</w:t>
            </w:r>
          </w:p>
        </w:tc>
        <w:tc>
          <w:tcPr>
            <w:tcW w:w="1009" w:type="dxa"/>
            <w:shd w:val="clear" w:color="auto" w:fill="FFFFFF"/>
          </w:tcPr>
          <w:p w14:paraId="39737F1C" w14:textId="77777777" w:rsidR="003E41EC" w:rsidRPr="00E4270D" w:rsidRDefault="0090021E"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 xml:space="preserve">      </w:t>
            </w:r>
            <w:r w:rsidR="003E41EC" w:rsidRPr="00E4270D">
              <w:rPr>
                <w:rFonts w:asciiTheme="majorBidi" w:hAnsiTheme="majorBidi" w:cstheme="majorBidi"/>
                <w:i/>
                <w:iCs/>
                <w:color w:val="000000"/>
                <w:sz w:val="20"/>
                <w:szCs w:val="20"/>
              </w:rPr>
              <w:t>F</w:t>
            </w:r>
          </w:p>
        </w:tc>
        <w:tc>
          <w:tcPr>
            <w:tcW w:w="1009" w:type="dxa"/>
            <w:shd w:val="clear" w:color="auto" w:fill="FFFFFF"/>
          </w:tcPr>
          <w:p w14:paraId="1EE038AE" w14:textId="77777777" w:rsidR="003E41EC" w:rsidRPr="00E4270D" w:rsidRDefault="0090021E"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 xml:space="preserve">          </w:t>
            </w:r>
            <w:r w:rsidR="003E41EC" w:rsidRPr="00E4270D">
              <w:rPr>
                <w:rFonts w:asciiTheme="majorBidi" w:hAnsiTheme="majorBidi" w:cstheme="majorBidi"/>
                <w:i/>
                <w:iCs/>
                <w:color w:val="000000"/>
                <w:sz w:val="20"/>
                <w:szCs w:val="20"/>
              </w:rPr>
              <w:t>Sig.</w:t>
            </w:r>
          </w:p>
        </w:tc>
        <w:tc>
          <w:tcPr>
            <w:tcW w:w="2998" w:type="dxa"/>
            <w:shd w:val="clear" w:color="auto" w:fill="FFFFFF"/>
          </w:tcPr>
          <w:p w14:paraId="1AEB2715" w14:textId="77777777" w:rsidR="003E41EC" w:rsidRPr="00E4270D" w:rsidRDefault="0090021E"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Partial Eta Squared</w:t>
            </w:r>
          </w:p>
        </w:tc>
      </w:tr>
      <w:tr w:rsidR="003E41EC" w:rsidRPr="00E4270D" w14:paraId="22DE45F0" w14:textId="77777777" w:rsidTr="00E4270D">
        <w:trPr>
          <w:cantSplit/>
          <w:jc w:val="center"/>
        </w:trPr>
        <w:tc>
          <w:tcPr>
            <w:tcW w:w="903" w:type="dxa"/>
            <w:shd w:val="clear" w:color="auto" w:fill="FFFFFF"/>
            <w:vAlign w:val="center"/>
          </w:tcPr>
          <w:p w14:paraId="2235E8D1"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EG</w:t>
            </w:r>
          </w:p>
        </w:tc>
        <w:tc>
          <w:tcPr>
            <w:tcW w:w="1009" w:type="dxa"/>
            <w:shd w:val="clear" w:color="auto" w:fill="FFFFFF"/>
          </w:tcPr>
          <w:p w14:paraId="09316BC0"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5.50</w:t>
            </w:r>
          </w:p>
        </w:tc>
        <w:tc>
          <w:tcPr>
            <w:tcW w:w="1423" w:type="dxa"/>
            <w:shd w:val="clear" w:color="auto" w:fill="FFFFFF"/>
          </w:tcPr>
          <w:p w14:paraId="47FF65B6"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.82</w:t>
            </w:r>
          </w:p>
        </w:tc>
        <w:tc>
          <w:tcPr>
            <w:tcW w:w="1009" w:type="dxa"/>
            <w:shd w:val="clear" w:color="auto" w:fill="FFFFFF"/>
          </w:tcPr>
          <w:p w14:paraId="2BEDE377"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val="restart"/>
            <w:shd w:val="clear" w:color="auto" w:fill="FFFFFF"/>
          </w:tcPr>
          <w:p w14:paraId="603C18BB" w14:textId="77777777" w:rsidR="003E41EC" w:rsidRPr="00E4270D" w:rsidRDefault="0090021E"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62.73</w:t>
            </w:r>
          </w:p>
        </w:tc>
        <w:tc>
          <w:tcPr>
            <w:tcW w:w="1009" w:type="dxa"/>
            <w:vMerge w:val="restart"/>
            <w:shd w:val="clear" w:color="auto" w:fill="FFFFFF"/>
          </w:tcPr>
          <w:p w14:paraId="7C8DA93A" w14:textId="77777777" w:rsidR="003E41EC" w:rsidRPr="00E4270D" w:rsidRDefault="0090021E"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.00</w:t>
            </w:r>
          </w:p>
        </w:tc>
        <w:tc>
          <w:tcPr>
            <w:tcW w:w="2998" w:type="dxa"/>
            <w:vMerge w:val="restart"/>
            <w:shd w:val="clear" w:color="auto" w:fill="FFFFFF"/>
          </w:tcPr>
          <w:p w14:paraId="61A21A78" w14:textId="77777777" w:rsidR="003E41EC" w:rsidRPr="00E4270D" w:rsidRDefault="0090021E"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.74</w:t>
            </w:r>
          </w:p>
        </w:tc>
      </w:tr>
      <w:tr w:rsidR="003E41EC" w:rsidRPr="00E4270D" w14:paraId="4AC27538" w14:textId="77777777" w:rsidTr="00E4270D">
        <w:trPr>
          <w:cantSplit/>
          <w:jc w:val="center"/>
        </w:trPr>
        <w:tc>
          <w:tcPr>
            <w:tcW w:w="903" w:type="dxa"/>
            <w:shd w:val="clear" w:color="auto" w:fill="FFFFFF"/>
            <w:vAlign w:val="center"/>
          </w:tcPr>
          <w:p w14:paraId="442DC195"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CG</w:t>
            </w:r>
          </w:p>
        </w:tc>
        <w:tc>
          <w:tcPr>
            <w:tcW w:w="1009" w:type="dxa"/>
            <w:shd w:val="clear" w:color="auto" w:fill="FFFFFF"/>
          </w:tcPr>
          <w:p w14:paraId="2A685037"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4.58</w:t>
            </w:r>
          </w:p>
        </w:tc>
        <w:tc>
          <w:tcPr>
            <w:tcW w:w="1423" w:type="dxa"/>
            <w:shd w:val="clear" w:color="auto" w:fill="FFFFFF"/>
          </w:tcPr>
          <w:p w14:paraId="7EDA14B6"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.73</w:t>
            </w:r>
          </w:p>
        </w:tc>
        <w:tc>
          <w:tcPr>
            <w:tcW w:w="1009" w:type="dxa"/>
            <w:shd w:val="clear" w:color="auto" w:fill="FFFFFF"/>
          </w:tcPr>
          <w:p w14:paraId="0F5975F1"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shd w:val="clear" w:color="auto" w:fill="FFFFFF"/>
          </w:tcPr>
          <w:p w14:paraId="760E60B6"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20A10EDF"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2998" w:type="dxa"/>
            <w:vMerge/>
            <w:shd w:val="clear" w:color="auto" w:fill="FFFFFF"/>
          </w:tcPr>
          <w:p w14:paraId="5DC43217"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bl>
    <w:p w14:paraId="2117CF85" w14:textId="77777777" w:rsidR="003E41EC" w:rsidRPr="007E5185" w:rsidRDefault="003E41EC" w:rsidP="001132F9">
      <w:pPr>
        <w:spacing w:line="240" w:lineRule="auto"/>
        <w:rPr>
          <w:rFonts w:asciiTheme="majorBidi" w:hAnsiTheme="majorBidi" w:cstheme="majorBidi"/>
          <w:sz w:val="22"/>
        </w:rPr>
      </w:pPr>
    </w:p>
    <w:p w14:paraId="2980E38E" w14:textId="77777777" w:rsidR="008F3EAE" w:rsidRPr="007E5185" w:rsidRDefault="008F3EAE" w:rsidP="00E4270D">
      <w:pPr>
        <w:autoSpaceDE w:val="0"/>
        <w:autoSpaceDN w:val="0"/>
        <w:adjustRightInd w:val="0"/>
        <w:spacing w:after="120" w:line="240" w:lineRule="auto"/>
        <w:ind w:left="115" w:right="72"/>
        <w:jc w:val="both"/>
        <w:rPr>
          <w:rFonts w:asciiTheme="majorBidi" w:hAnsiTheme="majorBidi" w:cstheme="majorBidi"/>
          <w:sz w:val="22"/>
        </w:rPr>
      </w:pPr>
      <w:r w:rsidRPr="007E5185">
        <w:rPr>
          <w:rFonts w:asciiTheme="majorBidi" w:hAnsiTheme="majorBidi" w:cstheme="majorBidi"/>
          <w:sz w:val="22"/>
        </w:rPr>
        <w:t xml:space="preserve">Since the </w:t>
      </w:r>
      <w:r w:rsidRPr="007E5185">
        <w:rPr>
          <w:rFonts w:asciiTheme="majorBidi" w:hAnsiTheme="majorBidi" w:cstheme="majorBidi"/>
          <w:i/>
          <w:iCs/>
          <w:sz w:val="22"/>
        </w:rPr>
        <w:t xml:space="preserve">p </w:t>
      </w:r>
      <w:r w:rsidRPr="007E5185">
        <w:rPr>
          <w:rFonts w:asciiTheme="majorBidi" w:hAnsiTheme="majorBidi" w:cstheme="majorBidi"/>
          <w:sz w:val="22"/>
        </w:rPr>
        <w:t xml:space="preserve">value was lower than the significance level (.00 &lt; .05), it could be concluded that the MA learners in the EG significantly outperformed their </w:t>
      </w:r>
      <w:r w:rsidR="00D67A02" w:rsidRPr="007E5185">
        <w:rPr>
          <w:rFonts w:asciiTheme="majorBidi" w:hAnsiTheme="majorBidi" w:cstheme="majorBidi"/>
          <w:sz w:val="22"/>
        </w:rPr>
        <w:t xml:space="preserve">MA </w:t>
      </w:r>
      <w:r w:rsidRPr="007E5185">
        <w:rPr>
          <w:rFonts w:asciiTheme="majorBidi" w:hAnsiTheme="majorBidi" w:cstheme="majorBidi"/>
          <w:sz w:val="22"/>
        </w:rPr>
        <w:t>counterparts in the CG.</w:t>
      </w:r>
      <w:r w:rsidR="00FD489B" w:rsidRPr="007E5185">
        <w:rPr>
          <w:rFonts w:asciiTheme="majorBidi" w:hAnsiTheme="majorBidi" w:cstheme="majorBidi"/>
          <w:sz w:val="22"/>
        </w:rPr>
        <w:t xml:space="preserve"> </w:t>
      </w:r>
      <w:r w:rsidRPr="007E5185">
        <w:rPr>
          <w:rFonts w:asciiTheme="majorBidi" w:hAnsiTheme="majorBidi" w:cstheme="majorBidi"/>
          <w:sz w:val="22"/>
        </w:rPr>
        <w:t xml:space="preserve">The posttest scores of the HA learners in the EG and CG were </w:t>
      </w:r>
      <w:r w:rsidR="003E41EC" w:rsidRPr="007E5185">
        <w:rPr>
          <w:rFonts w:asciiTheme="majorBidi" w:hAnsiTheme="majorBidi" w:cstheme="majorBidi"/>
          <w:sz w:val="22"/>
        </w:rPr>
        <w:t>compared using one-way ANCOVA. The posttest mean scores of HA learners in the EG (</w:t>
      </w:r>
      <w:r w:rsidR="003E41EC" w:rsidRPr="007E5185">
        <w:rPr>
          <w:rFonts w:asciiTheme="majorBidi" w:hAnsiTheme="majorBidi" w:cstheme="majorBidi"/>
          <w:i/>
          <w:iCs/>
          <w:sz w:val="22"/>
        </w:rPr>
        <w:t xml:space="preserve">M </w:t>
      </w:r>
      <w:r w:rsidR="003E41EC" w:rsidRPr="007E5185">
        <w:rPr>
          <w:rFonts w:asciiTheme="majorBidi" w:hAnsiTheme="majorBidi" w:cstheme="majorBidi"/>
          <w:sz w:val="22"/>
        </w:rPr>
        <w:t>= 6.37) was greater than the mean score of their HA counterparts in the CG (</w:t>
      </w:r>
      <w:r w:rsidR="003E41EC" w:rsidRPr="007E5185">
        <w:rPr>
          <w:rFonts w:asciiTheme="majorBidi" w:hAnsiTheme="majorBidi" w:cstheme="majorBidi"/>
          <w:i/>
          <w:iCs/>
          <w:sz w:val="22"/>
        </w:rPr>
        <w:t xml:space="preserve">M </w:t>
      </w:r>
      <w:r w:rsidR="003E41EC" w:rsidRPr="007E5185">
        <w:rPr>
          <w:rFonts w:asciiTheme="majorBidi" w:hAnsiTheme="majorBidi" w:cstheme="majorBidi"/>
          <w:sz w:val="22"/>
        </w:rPr>
        <w:t xml:space="preserve">= 6.04). The </w:t>
      </w:r>
      <w:r w:rsidR="003E41EC" w:rsidRPr="007E5185">
        <w:rPr>
          <w:rFonts w:asciiTheme="majorBidi" w:hAnsiTheme="majorBidi" w:cstheme="majorBidi"/>
          <w:i/>
          <w:iCs/>
          <w:sz w:val="22"/>
        </w:rPr>
        <w:t xml:space="preserve">p </w:t>
      </w:r>
      <w:r w:rsidR="003E41EC" w:rsidRPr="007E5185">
        <w:rPr>
          <w:rFonts w:asciiTheme="majorBidi" w:hAnsiTheme="majorBidi" w:cstheme="majorBidi"/>
          <w:sz w:val="22"/>
        </w:rPr>
        <w:t xml:space="preserve">value </w:t>
      </w:r>
      <w:r w:rsidR="00902EA5" w:rsidRPr="007E5185">
        <w:rPr>
          <w:rFonts w:asciiTheme="majorBidi" w:hAnsiTheme="majorBidi" w:cstheme="majorBidi"/>
          <w:sz w:val="22"/>
        </w:rPr>
        <w:t>determined</w:t>
      </w:r>
      <w:r w:rsidR="003E41EC" w:rsidRPr="007E5185">
        <w:rPr>
          <w:rFonts w:asciiTheme="majorBidi" w:hAnsiTheme="majorBidi" w:cstheme="majorBidi"/>
          <w:sz w:val="22"/>
        </w:rPr>
        <w:t xml:space="preserve"> whether this difference reached statistical significance or not:</w:t>
      </w:r>
    </w:p>
    <w:p w14:paraId="1FB9FBB9" w14:textId="77777777" w:rsidR="003E41EC" w:rsidRPr="00295A95" w:rsidRDefault="003E41EC" w:rsidP="00E4270D">
      <w:pPr>
        <w:spacing w:after="120" w:line="240" w:lineRule="auto"/>
        <w:jc w:val="center"/>
        <w:rPr>
          <w:rFonts w:asciiTheme="majorBidi" w:eastAsia="Times New Roman" w:hAnsiTheme="majorBidi" w:cstheme="majorBidi"/>
          <w:sz w:val="20"/>
          <w:szCs w:val="20"/>
        </w:rPr>
      </w:pPr>
      <w:r w:rsidRPr="00295A95">
        <w:rPr>
          <w:rFonts w:asciiTheme="majorBidi" w:eastAsia="Times New Roman" w:hAnsiTheme="majorBidi" w:cstheme="majorBidi"/>
          <w:sz w:val="20"/>
          <w:szCs w:val="20"/>
        </w:rPr>
        <w:t xml:space="preserve">Table </w:t>
      </w:r>
      <w:r w:rsidR="009B14DE" w:rsidRPr="00295A95">
        <w:rPr>
          <w:rFonts w:asciiTheme="majorBidi" w:eastAsia="Times New Roman" w:hAnsiTheme="majorBidi" w:cstheme="majorBidi"/>
          <w:sz w:val="20"/>
          <w:szCs w:val="20"/>
        </w:rPr>
        <w:t>10</w:t>
      </w:r>
      <w:r w:rsidR="00E4270D" w:rsidRPr="00295A95">
        <w:rPr>
          <w:rFonts w:asciiTheme="majorBidi" w:eastAsia="Times New Roman" w:hAnsiTheme="majorBidi" w:cstheme="majorBidi"/>
          <w:sz w:val="20"/>
          <w:szCs w:val="20"/>
        </w:rPr>
        <w:t xml:space="preserve">: </w:t>
      </w:r>
      <w:r w:rsidRPr="00295A95">
        <w:rPr>
          <w:rFonts w:asciiTheme="majorBidi" w:eastAsia="Times New Roman" w:hAnsiTheme="majorBidi" w:cstheme="majorBidi"/>
          <w:sz w:val="20"/>
          <w:szCs w:val="20"/>
        </w:rPr>
        <w:t>One-Way ANCOVA Results for the Posttest Scores of HA Learners in the EG and CG</w:t>
      </w:r>
    </w:p>
    <w:tbl>
      <w:tblPr>
        <w:tblW w:w="9360"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903"/>
        <w:gridCol w:w="1009"/>
        <w:gridCol w:w="1423"/>
        <w:gridCol w:w="1009"/>
        <w:gridCol w:w="1009"/>
        <w:gridCol w:w="1009"/>
        <w:gridCol w:w="2998"/>
      </w:tblGrid>
      <w:tr w:rsidR="003E41EC" w:rsidRPr="00E4270D" w14:paraId="2FB06C9C" w14:textId="77777777" w:rsidTr="00E4270D">
        <w:trPr>
          <w:cantSplit/>
          <w:jc w:val="center"/>
        </w:trPr>
        <w:tc>
          <w:tcPr>
            <w:tcW w:w="903" w:type="dxa"/>
            <w:shd w:val="clear" w:color="auto" w:fill="FFFFFF"/>
          </w:tcPr>
          <w:p w14:paraId="3CFAB383"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Groups</w:t>
            </w:r>
          </w:p>
        </w:tc>
        <w:tc>
          <w:tcPr>
            <w:tcW w:w="1009" w:type="dxa"/>
            <w:shd w:val="clear" w:color="auto" w:fill="FFFFFF"/>
          </w:tcPr>
          <w:p w14:paraId="78C5711E"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Mean</w:t>
            </w:r>
          </w:p>
        </w:tc>
        <w:tc>
          <w:tcPr>
            <w:tcW w:w="1423" w:type="dxa"/>
            <w:shd w:val="clear" w:color="auto" w:fill="FFFFFF"/>
          </w:tcPr>
          <w:p w14:paraId="49918582"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i/>
                <w:iCs/>
                <w:color w:val="000000"/>
                <w:sz w:val="20"/>
                <w:szCs w:val="20"/>
              </w:rPr>
              <w:t>Std.</w:t>
            </w:r>
            <w:r w:rsidRPr="00E4270D">
              <w:rPr>
                <w:rFonts w:asciiTheme="majorBidi" w:hAnsiTheme="majorBidi" w:cstheme="majorBidi"/>
                <w:color w:val="000000"/>
                <w:sz w:val="20"/>
                <w:szCs w:val="20"/>
              </w:rPr>
              <w:t xml:space="preserve"> Deviation</w:t>
            </w:r>
          </w:p>
        </w:tc>
        <w:tc>
          <w:tcPr>
            <w:tcW w:w="1009" w:type="dxa"/>
            <w:shd w:val="clear" w:color="auto" w:fill="FFFFFF"/>
          </w:tcPr>
          <w:p w14:paraId="6EBB9E92"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N</w:t>
            </w:r>
          </w:p>
        </w:tc>
        <w:tc>
          <w:tcPr>
            <w:tcW w:w="1009" w:type="dxa"/>
            <w:shd w:val="clear" w:color="auto" w:fill="FFFFFF"/>
          </w:tcPr>
          <w:p w14:paraId="2EBF38C8" w14:textId="77777777" w:rsidR="003E41EC" w:rsidRPr="00E4270D" w:rsidRDefault="008C0356"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 xml:space="preserve">   </w:t>
            </w:r>
            <w:r w:rsidR="00FD3CCC" w:rsidRPr="00E4270D">
              <w:rPr>
                <w:rFonts w:asciiTheme="majorBidi" w:hAnsiTheme="majorBidi" w:cstheme="majorBidi"/>
                <w:i/>
                <w:iCs/>
                <w:color w:val="000000"/>
                <w:sz w:val="20"/>
                <w:szCs w:val="20"/>
              </w:rPr>
              <w:t xml:space="preserve"> </w:t>
            </w:r>
            <w:r w:rsidRPr="00E4270D">
              <w:rPr>
                <w:rFonts w:asciiTheme="majorBidi" w:hAnsiTheme="majorBidi" w:cstheme="majorBidi"/>
                <w:i/>
                <w:iCs/>
                <w:color w:val="000000"/>
                <w:sz w:val="20"/>
                <w:szCs w:val="20"/>
              </w:rPr>
              <w:t xml:space="preserve"> </w:t>
            </w:r>
            <w:r w:rsidR="003E41EC" w:rsidRPr="00E4270D">
              <w:rPr>
                <w:rFonts w:asciiTheme="majorBidi" w:hAnsiTheme="majorBidi" w:cstheme="majorBidi"/>
                <w:i/>
                <w:iCs/>
                <w:color w:val="000000"/>
                <w:sz w:val="20"/>
                <w:szCs w:val="20"/>
              </w:rPr>
              <w:t>F</w:t>
            </w:r>
          </w:p>
        </w:tc>
        <w:tc>
          <w:tcPr>
            <w:tcW w:w="1009" w:type="dxa"/>
            <w:shd w:val="clear" w:color="auto" w:fill="FFFFFF"/>
          </w:tcPr>
          <w:p w14:paraId="78F2204D" w14:textId="77777777" w:rsidR="003E41EC" w:rsidRPr="00E4270D" w:rsidRDefault="008C0356"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 xml:space="preserve">     </w:t>
            </w:r>
            <w:r w:rsidR="00FD3CCC" w:rsidRPr="00E4270D">
              <w:rPr>
                <w:rFonts w:asciiTheme="majorBidi" w:hAnsiTheme="majorBidi" w:cstheme="majorBidi"/>
                <w:i/>
                <w:iCs/>
                <w:color w:val="000000"/>
                <w:sz w:val="20"/>
                <w:szCs w:val="20"/>
              </w:rPr>
              <w:t xml:space="preserve"> </w:t>
            </w:r>
            <w:r w:rsidRPr="00E4270D">
              <w:rPr>
                <w:rFonts w:asciiTheme="majorBidi" w:hAnsiTheme="majorBidi" w:cstheme="majorBidi"/>
                <w:i/>
                <w:iCs/>
                <w:color w:val="000000"/>
                <w:sz w:val="20"/>
                <w:szCs w:val="20"/>
              </w:rPr>
              <w:t xml:space="preserve">   </w:t>
            </w:r>
            <w:r w:rsidR="003E41EC" w:rsidRPr="00E4270D">
              <w:rPr>
                <w:rFonts w:asciiTheme="majorBidi" w:hAnsiTheme="majorBidi" w:cstheme="majorBidi"/>
                <w:i/>
                <w:iCs/>
                <w:color w:val="000000"/>
                <w:sz w:val="20"/>
                <w:szCs w:val="20"/>
              </w:rPr>
              <w:t>Sig.</w:t>
            </w:r>
          </w:p>
        </w:tc>
        <w:tc>
          <w:tcPr>
            <w:tcW w:w="2998" w:type="dxa"/>
            <w:shd w:val="clear" w:color="auto" w:fill="FFFFFF"/>
          </w:tcPr>
          <w:p w14:paraId="7BCE2D65" w14:textId="77777777" w:rsidR="003E41EC" w:rsidRPr="00E4270D" w:rsidRDefault="008C0356"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Partial Eta Squared</w:t>
            </w:r>
          </w:p>
        </w:tc>
      </w:tr>
      <w:tr w:rsidR="003E41EC" w:rsidRPr="00E4270D" w14:paraId="0337759D" w14:textId="77777777" w:rsidTr="00E4270D">
        <w:trPr>
          <w:cantSplit/>
          <w:jc w:val="center"/>
        </w:trPr>
        <w:tc>
          <w:tcPr>
            <w:tcW w:w="903" w:type="dxa"/>
            <w:shd w:val="clear" w:color="auto" w:fill="FFFFFF"/>
            <w:vAlign w:val="center"/>
          </w:tcPr>
          <w:p w14:paraId="1E436C53"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EG</w:t>
            </w:r>
          </w:p>
        </w:tc>
        <w:tc>
          <w:tcPr>
            <w:tcW w:w="1009" w:type="dxa"/>
            <w:shd w:val="clear" w:color="auto" w:fill="FFFFFF"/>
          </w:tcPr>
          <w:p w14:paraId="1B9F62DA"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6.37</w:t>
            </w:r>
          </w:p>
        </w:tc>
        <w:tc>
          <w:tcPr>
            <w:tcW w:w="1423" w:type="dxa"/>
            <w:shd w:val="clear" w:color="auto" w:fill="FFFFFF"/>
          </w:tcPr>
          <w:p w14:paraId="4CA00F99"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.80</w:t>
            </w:r>
          </w:p>
        </w:tc>
        <w:tc>
          <w:tcPr>
            <w:tcW w:w="1009" w:type="dxa"/>
            <w:shd w:val="clear" w:color="auto" w:fill="FFFFFF"/>
          </w:tcPr>
          <w:p w14:paraId="33834895"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val="restart"/>
            <w:shd w:val="clear" w:color="auto" w:fill="FFFFFF"/>
          </w:tcPr>
          <w:p w14:paraId="4E845A77" w14:textId="77777777" w:rsidR="003E41EC" w:rsidRPr="00E4270D" w:rsidRDefault="008C0356"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10.61</w:t>
            </w:r>
          </w:p>
        </w:tc>
        <w:tc>
          <w:tcPr>
            <w:tcW w:w="1009" w:type="dxa"/>
            <w:vMerge w:val="restart"/>
            <w:shd w:val="clear" w:color="auto" w:fill="FFFFFF"/>
          </w:tcPr>
          <w:p w14:paraId="468F5502" w14:textId="77777777" w:rsidR="003E41EC" w:rsidRPr="00E4270D" w:rsidRDefault="008C0356"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.00</w:t>
            </w:r>
          </w:p>
        </w:tc>
        <w:tc>
          <w:tcPr>
            <w:tcW w:w="2998" w:type="dxa"/>
            <w:vMerge w:val="restart"/>
            <w:shd w:val="clear" w:color="auto" w:fill="FFFFFF"/>
          </w:tcPr>
          <w:p w14:paraId="03BCF609" w14:textId="77777777" w:rsidR="003E41EC" w:rsidRPr="00E4270D" w:rsidRDefault="008C0356"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.33</w:t>
            </w:r>
          </w:p>
        </w:tc>
      </w:tr>
      <w:tr w:rsidR="003E41EC" w:rsidRPr="00E4270D" w14:paraId="635455CB" w14:textId="77777777" w:rsidTr="00E4270D">
        <w:trPr>
          <w:cantSplit/>
          <w:jc w:val="center"/>
        </w:trPr>
        <w:tc>
          <w:tcPr>
            <w:tcW w:w="903" w:type="dxa"/>
            <w:shd w:val="clear" w:color="auto" w:fill="FFFFFF"/>
            <w:vAlign w:val="center"/>
          </w:tcPr>
          <w:p w14:paraId="01A7C04F"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CG</w:t>
            </w:r>
          </w:p>
        </w:tc>
        <w:tc>
          <w:tcPr>
            <w:tcW w:w="1009" w:type="dxa"/>
            <w:shd w:val="clear" w:color="auto" w:fill="FFFFFF"/>
          </w:tcPr>
          <w:p w14:paraId="1B8959FD"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6.04</w:t>
            </w:r>
          </w:p>
        </w:tc>
        <w:tc>
          <w:tcPr>
            <w:tcW w:w="1423" w:type="dxa"/>
            <w:shd w:val="clear" w:color="auto" w:fill="FFFFFF"/>
          </w:tcPr>
          <w:p w14:paraId="7F4E0DBA"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.86</w:t>
            </w:r>
          </w:p>
        </w:tc>
        <w:tc>
          <w:tcPr>
            <w:tcW w:w="1009" w:type="dxa"/>
            <w:shd w:val="clear" w:color="auto" w:fill="FFFFFF"/>
          </w:tcPr>
          <w:p w14:paraId="707188EC"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shd w:val="clear" w:color="auto" w:fill="FFFFFF"/>
          </w:tcPr>
          <w:p w14:paraId="4E9EC0FE"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3B5EA278"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2998" w:type="dxa"/>
            <w:vMerge/>
            <w:shd w:val="clear" w:color="auto" w:fill="FFFFFF"/>
          </w:tcPr>
          <w:p w14:paraId="388BB966"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bl>
    <w:p w14:paraId="356C417C" w14:textId="77777777" w:rsidR="003E41EC" w:rsidRPr="007E5185" w:rsidRDefault="003E41EC" w:rsidP="001132F9">
      <w:pPr>
        <w:spacing w:line="240" w:lineRule="auto"/>
        <w:rPr>
          <w:rFonts w:asciiTheme="majorBidi" w:hAnsiTheme="majorBidi" w:cstheme="majorBidi"/>
          <w:sz w:val="22"/>
        </w:rPr>
      </w:pPr>
    </w:p>
    <w:p w14:paraId="15190BBD" w14:textId="77777777" w:rsidR="003E41EC" w:rsidRPr="007E5185" w:rsidRDefault="008F3EAE" w:rsidP="00E4270D">
      <w:pPr>
        <w:autoSpaceDE w:val="0"/>
        <w:autoSpaceDN w:val="0"/>
        <w:adjustRightInd w:val="0"/>
        <w:spacing w:after="120" w:line="240" w:lineRule="auto"/>
        <w:ind w:left="115" w:right="72"/>
        <w:jc w:val="both"/>
        <w:rPr>
          <w:rFonts w:asciiTheme="majorBidi" w:hAnsiTheme="majorBidi" w:cstheme="majorBidi"/>
          <w:sz w:val="22"/>
        </w:rPr>
      </w:pPr>
      <w:r w:rsidRPr="007E5185">
        <w:rPr>
          <w:rFonts w:asciiTheme="majorBidi" w:hAnsiTheme="majorBidi" w:cstheme="majorBidi"/>
          <w:sz w:val="22"/>
        </w:rPr>
        <w:t xml:space="preserve">As the </w:t>
      </w:r>
      <w:r w:rsidRPr="007E5185">
        <w:rPr>
          <w:rFonts w:asciiTheme="majorBidi" w:hAnsiTheme="majorBidi" w:cstheme="majorBidi"/>
          <w:i/>
          <w:iCs/>
          <w:sz w:val="22"/>
        </w:rPr>
        <w:t xml:space="preserve">p </w:t>
      </w:r>
      <w:r w:rsidRPr="007E5185">
        <w:rPr>
          <w:rFonts w:asciiTheme="majorBidi" w:hAnsiTheme="majorBidi" w:cstheme="majorBidi"/>
          <w:sz w:val="22"/>
        </w:rPr>
        <w:t>value was less than the significance level (.00 &lt; .05), i</w:t>
      </w:r>
      <w:r w:rsidR="00902EA5" w:rsidRPr="007E5185">
        <w:rPr>
          <w:rFonts w:asciiTheme="majorBidi" w:hAnsiTheme="majorBidi" w:cstheme="majorBidi"/>
          <w:sz w:val="22"/>
        </w:rPr>
        <w:t xml:space="preserve">ndicating </w:t>
      </w:r>
      <w:r w:rsidRPr="007E5185">
        <w:rPr>
          <w:rFonts w:asciiTheme="majorBidi" w:hAnsiTheme="majorBidi" w:cstheme="majorBidi"/>
          <w:sz w:val="22"/>
        </w:rPr>
        <w:t>that the HA learners in the EG significantly outperformed their HA counterparts in the CG.</w:t>
      </w:r>
      <w:r w:rsidR="00FD489B" w:rsidRPr="007E5185">
        <w:rPr>
          <w:rFonts w:asciiTheme="majorBidi" w:hAnsiTheme="majorBidi" w:cstheme="majorBidi"/>
          <w:sz w:val="22"/>
        </w:rPr>
        <w:t xml:space="preserve"> </w:t>
      </w:r>
      <w:r w:rsidRPr="007E5185">
        <w:rPr>
          <w:rFonts w:asciiTheme="majorBidi" w:hAnsiTheme="majorBidi" w:cstheme="majorBidi"/>
          <w:sz w:val="22"/>
        </w:rPr>
        <w:t xml:space="preserve">The posttest scores of the LA learners in </w:t>
      </w:r>
      <w:r w:rsidRPr="007E5185">
        <w:rPr>
          <w:rFonts w:asciiTheme="majorBidi" w:hAnsiTheme="majorBidi" w:cstheme="majorBidi"/>
          <w:sz w:val="22"/>
        </w:rPr>
        <w:lastRenderedPageBreak/>
        <w:t>the EG and CG were a</w:t>
      </w:r>
      <w:r w:rsidR="003E41EC" w:rsidRPr="007E5185">
        <w:rPr>
          <w:rFonts w:asciiTheme="majorBidi" w:hAnsiTheme="majorBidi" w:cstheme="majorBidi"/>
          <w:sz w:val="22"/>
        </w:rPr>
        <w:t>lso compared via one-way ANCOVA. The posttest mean scores of LA learners in the EG (</w:t>
      </w:r>
      <w:r w:rsidR="003E41EC" w:rsidRPr="007E5185">
        <w:rPr>
          <w:rFonts w:asciiTheme="majorBidi" w:hAnsiTheme="majorBidi" w:cstheme="majorBidi"/>
          <w:i/>
          <w:iCs/>
          <w:sz w:val="22"/>
        </w:rPr>
        <w:t xml:space="preserve">M </w:t>
      </w:r>
      <w:r w:rsidR="003E41EC" w:rsidRPr="007E5185">
        <w:rPr>
          <w:rFonts w:asciiTheme="majorBidi" w:hAnsiTheme="majorBidi" w:cstheme="majorBidi"/>
          <w:sz w:val="22"/>
        </w:rPr>
        <w:t>= 4.50) was found to be smaller than the mean score of their LA counterparts in the CG (</w:t>
      </w:r>
      <w:r w:rsidR="003E41EC" w:rsidRPr="007E5185">
        <w:rPr>
          <w:rFonts w:asciiTheme="majorBidi" w:hAnsiTheme="majorBidi" w:cstheme="majorBidi"/>
          <w:i/>
          <w:iCs/>
          <w:sz w:val="22"/>
        </w:rPr>
        <w:t xml:space="preserve">M </w:t>
      </w:r>
      <w:r w:rsidR="003E41EC" w:rsidRPr="007E5185">
        <w:rPr>
          <w:rFonts w:asciiTheme="majorBidi" w:hAnsiTheme="majorBidi" w:cstheme="majorBidi"/>
          <w:sz w:val="22"/>
        </w:rPr>
        <w:t xml:space="preserve">= 5.41). To see whether this difference reached statistical significance or not, the researcher had to consult the </w:t>
      </w:r>
      <w:r w:rsidR="003E41EC" w:rsidRPr="007E5185">
        <w:rPr>
          <w:rFonts w:asciiTheme="majorBidi" w:hAnsiTheme="majorBidi" w:cstheme="majorBidi"/>
          <w:i/>
          <w:iCs/>
          <w:sz w:val="22"/>
        </w:rPr>
        <w:t xml:space="preserve">p </w:t>
      </w:r>
      <w:r w:rsidR="00DB12DC" w:rsidRPr="007E5185">
        <w:rPr>
          <w:rFonts w:asciiTheme="majorBidi" w:hAnsiTheme="majorBidi" w:cstheme="majorBidi"/>
          <w:sz w:val="22"/>
        </w:rPr>
        <w:t>value.</w:t>
      </w:r>
    </w:p>
    <w:p w14:paraId="7CE41564" w14:textId="77777777" w:rsidR="00FD489B" w:rsidRPr="007E5185" w:rsidRDefault="00FD489B" w:rsidP="001132F9">
      <w:pPr>
        <w:autoSpaceDE w:val="0"/>
        <w:autoSpaceDN w:val="0"/>
        <w:adjustRightInd w:val="0"/>
        <w:spacing w:after="0" w:line="240" w:lineRule="auto"/>
        <w:jc w:val="both"/>
        <w:rPr>
          <w:rFonts w:asciiTheme="majorBidi" w:hAnsiTheme="majorBidi" w:cstheme="majorBidi"/>
          <w:sz w:val="22"/>
        </w:rPr>
      </w:pPr>
    </w:p>
    <w:p w14:paraId="5515A552" w14:textId="77777777" w:rsidR="003E41EC" w:rsidRPr="00E4270D" w:rsidRDefault="003E41EC" w:rsidP="00E4270D">
      <w:pPr>
        <w:spacing w:after="120" w:line="240" w:lineRule="auto"/>
        <w:jc w:val="center"/>
        <w:rPr>
          <w:rFonts w:asciiTheme="majorBidi" w:eastAsia="Times New Roman" w:hAnsiTheme="majorBidi" w:cstheme="majorBidi"/>
          <w:sz w:val="22"/>
        </w:rPr>
      </w:pPr>
      <w:r w:rsidRPr="00E4270D">
        <w:rPr>
          <w:rFonts w:asciiTheme="majorBidi" w:eastAsia="Times New Roman" w:hAnsiTheme="majorBidi" w:cstheme="majorBidi"/>
          <w:sz w:val="22"/>
        </w:rPr>
        <w:t xml:space="preserve">Table </w:t>
      </w:r>
      <w:r w:rsidR="007C4C81" w:rsidRPr="00E4270D">
        <w:rPr>
          <w:rFonts w:asciiTheme="majorBidi" w:eastAsia="Times New Roman" w:hAnsiTheme="majorBidi" w:cstheme="majorBidi"/>
          <w:sz w:val="22"/>
        </w:rPr>
        <w:t>1</w:t>
      </w:r>
      <w:r w:rsidR="009B14DE" w:rsidRPr="00E4270D">
        <w:rPr>
          <w:rFonts w:asciiTheme="majorBidi" w:eastAsia="Times New Roman" w:hAnsiTheme="majorBidi" w:cstheme="majorBidi"/>
          <w:sz w:val="22"/>
        </w:rPr>
        <w:t>1</w:t>
      </w:r>
      <w:r w:rsidR="00E4270D">
        <w:rPr>
          <w:rFonts w:asciiTheme="majorBidi" w:eastAsia="Times New Roman" w:hAnsiTheme="majorBidi" w:cstheme="majorBidi"/>
          <w:sz w:val="22"/>
        </w:rPr>
        <w:t xml:space="preserve">: </w:t>
      </w:r>
      <w:r w:rsidRPr="00E4270D">
        <w:rPr>
          <w:rFonts w:asciiTheme="majorBidi" w:eastAsia="Times New Roman" w:hAnsiTheme="majorBidi" w:cstheme="majorBidi"/>
          <w:sz w:val="22"/>
        </w:rPr>
        <w:t>One-Way ANCOVA Results for the Posttest Scores of LA Learners in the EG and CG</w:t>
      </w:r>
    </w:p>
    <w:tbl>
      <w:tblPr>
        <w:tblW w:w="945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903"/>
        <w:gridCol w:w="1009"/>
        <w:gridCol w:w="1423"/>
        <w:gridCol w:w="1009"/>
        <w:gridCol w:w="1009"/>
        <w:gridCol w:w="1009"/>
        <w:gridCol w:w="3088"/>
      </w:tblGrid>
      <w:tr w:rsidR="003E41EC" w:rsidRPr="00E4270D" w14:paraId="1AA29EDB" w14:textId="77777777" w:rsidTr="00E4270D">
        <w:trPr>
          <w:cantSplit/>
        </w:trPr>
        <w:tc>
          <w:tcPr>
            <w:tcW w:w="903" w:type="dxa"/>
            <w:shd w:val="clear" w:color="auto" w:fill="FFFFFF"/>
          </w:tcPr>
          <w:p w14:paraId="3A742EB4"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Groups</w:t>
            </w:r>
          </w:p>
        </w:tc>
        <w:tc>
          <w:tcPr>
            <w:tcW w:w="1009" w:type="dxa"/>
            <w:shd w:val="clear" w:color="auto" w:fill="FFFFFF"/>
          </w:tcPr>
          <w:p w14:paraId="16308928"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Mean</w:t>
            </w:r>
          </w:p>
        </w:tc>
        <w:tc>
          <w:tcPr>
            <w:tcW w:w="1423" w:type="dxa"/>
            <w:shd w:val="clear" w:color="auto" w:fill="FFFFFF"/>
          </w:tcPr>
          <w:p w14:paraId="5F0A8E3C"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i/>
                <w:iCs/>
                <w:color w:val="000000"/>
                <w:sz w:val="20"/>
                <w:szCs w:val="20"/>
              </w:rPr>
              <w:t>Std.</w:t>
            </w:r>
            <w:r w:rsidRPr="00E4270D">
              <w:rPr>
                <w:rFonts w:asciiTheme="majorBidi" w:hAnsiTheme="majorBidi" w:cstheme="majorBidi"/>
                <w:color w:val="000000"/>
                <w:sz w:val="20"/>
                <w:szCs w:val="20"/>
              </w:rPr>
              <w:t xml:space="preserve"> Deviation</w:t>
            </w:r>
          </w:p>
        </w:tc>
        <w:tc>
          <w:tcPr>
            <w:tcW w:w="1009" w:type="dxa"/>
            <w:shd w:val="clear" w:color="auto" w:fill="FFFFFF"/>
          </w:tcPr>
          <w:p w14:paraId="32FF714F" w14:textId="77777777" w:rsidR="003E41EC" w:rsidRPr="00E4270D" w:rsidRDefault="007C4C81"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 xml:space="preserve">  </w:t>
            </w:r>
            <w:r w:rsidR="003E41EC" w:rsidRPr="00E4270D">
              <w:rPr>
                <w:rFonts w:asciiTheme="majorBidi" w:hAnsiTheme="majorBidi" w:cstheme="majorBidi"/>
                <w:i/>
                <w:iCs/>
                <w:color w:val="000000"/>
                <w:sz w:val="20"/>
                <w:szCs w:val="20"/>
              </w:rPr>
              <w:t>N</w:t>
            </w:r>
          </w:p>
        </w:tc>
        <w:tc>
          <w:tcPr>
            <w:tcW w:w="1009" w:type="dxa"/>
            <w:shd w:val="clear" w:color="auto" w:fill="FFFFFF"/>
          </w:tcPr>
          <w:p w14:paraId="0CAAB18E" w14:textId="77777777" w:rsidR="003E41EC" w:rsidRPr="00E4270D" w:rsidRDefault="007C4C81"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 xml:space="preserve">   </w:t>
            </w:r>
            <w:r w:rsidR="003E41EC" w:rsidRPr="00E4270D">
              <w:rPr>
                <w:rFonts w:asciiTheme="majorBidi" w:hAnsiTheme="majorBidi" w:cstheme="majorBidi"/>
                <w:i/>
                <w:iCs/>
                <w:color w:val="000000"/>
                <w:sz w:val="20"/>
                <w:szCs w:val="20"/>
              </w:rPr>
              <w:t>F</w:t>
            </w:r>
          </w:p>
        </w:tc>
        <w:tc>
          <w:tcPr>
            <w:tcW w:w="1009" w:type="dxa"/>
            <w:shd w:val="clear" w:color="auto" w:fill="FFFFFF"/>
          </w:tcPr>
          <w:p w14:paraId="0B6A3D80" w14:textId="77777777" w:rsidR="003E41EC" w:rsidRPr="00E4270D" w:rsidRDefault="007C4C81" w:rsidP="001132F9">
            <w:pPr>
              <w:autoSpaceDE w:val="0"/>
              <w:autoSpaceDN w:val="0"/>
              <w:adjustRightInd w:val="0"/>
              <w:spacing w:after="0" w:line="240" w:lineRule="auto"/>
              <w:ind w:left="60" w:right="60"/>
              <w:jc w:val="center"/>
              <w:rPr>
                <w:rFonts w:asciiTheme="majorBidi" w:hAnsiTheme="majorBidi" w:cstheme="majorBidi"/>
                <w:i/>
                <w:iCs/>
                <w:color w:val="000000"/>
                <w:sz w:val="20"/>
                <w:szCs w:val="20"/>
              </w:rPr>
            </w:pPr>
            <w:r w:rsidRPr="00E4270D">
              <w:rPr>
                <w:rFonts w:asciiTheme="majorBidi" w:hAnsiTheme="majorBidi" w:cstheme="majorBidi"/>
                <w:i/>
                <w:iCs/>
                <w:color w:val="000000"/>
                <w:sz w:val="20"/>
                <w:szCs w:val="20"/>
              </w:rPr>
              <w:t xml:space="preserve">    </w:t>
            </w:r>
            <w:r w:rsidR="003E41EC" w:rsidRPr="00E4270D">
              <w:rPr>
                <w:rFonts w:asciiTheme="majorBidi" w:hAnsiTheme="majorBidi" w:cstheme="majorBidi"/>
                <w:i/>
                <w:iCs/>
                <w:color w:val="000000"/>
                <w:sz w:val="20"/>
                <w:szCs w:val="20"/>
              </w:rPr>
              <w:t>Sig.</w:t>
            </w:r>
          </w:p>
        </w:tc>
        <w:tc>
          <w:tcPr>
            <w:tcW w:w="3088" w:type="dxa"/>
            <w:shd w:val="clear" w:color="auto" w:fill="FFFFFF"/>
          </w:tcPr>
          <w:p w14:paraId="05C611B9"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Partial Eta Squared</w:t>
            </w:r>
          </w:p>
        </w:tc>
      </w:tr>
      <w:tr w:rsidR="003E41EC" w:rsidRPr="00E4270D" w14:paraId="20A68959" w14:textId="77777777" w:rsidTr="00E4270D">
        <w:trPr>
          <w:cantSplit/>
        </w:trPr>
        <w:tc>
          <w:tcPr>
            <w:tcW w:w="903" w:type="dxa"/>
            <w:shd w:val="clear" w:color="auto" w:fill="FFFFFF"/>
            <w:vAlign w:val="center"/>
          </w:tcPr>
          <w:p w14:paraId="6BB4F752"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EG</w:t>
            </w:r>
          </w:p>
        </w:tc>
        <w:tc>
          <w:tcPr>
            <w:tcW w:w="1009" w:type="dxa"/>
            <w:shd w:val="clear" w:color="auto" w:fill="FFFFFF"/>
          </w:tcPr>
          <w:p w14:paraId="1880F4BC"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4.50</w:t>
            </w:r>
          </w:p>
        </w:tc>
        <w:tc>
          <w:tcPr>
            <w:tcW w:w="1423" w:type="dxa"/>
            <w:shd w:val="clear" w:color="auto" w:fill="FFFFFF"/>
          </w:tcPr>
          <w:p w14:paraId="26399229"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.56</w:t>
            </w:r>
          </w:p>
        </w:tc>
        <w:tc>
          <w:tcPr>
            <w:tcW w:w="1009" w:type="dxa"/>
            <w:shd w:val="clear" w:color="auto" w:fill="FFFFFF"/>
          </w:tcPr>
          <w:p w14:paraId="09A8FBC6" w14:textId="77777777" w:rsidR="003E41EC" w:rsidRPr="00E4270D" w:rsidRDefault="007C4C81"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12</w:t>
            </w:r>
          </w:p>
        </w:tc>
        <w:tc>
          <w:tcPr>
            <w:tcW w:w="1009" w:type="dxa"/>
            <w:vMerge w:val="restart"/>
            <w:shd w:val="clear" w:color="auto" w:fill="FFFFFF"/>
          </w:tcPr>
          <w:p w14:paraId="32CF9C58" w14:textId="77777777" w:rsidR="003E41EC" w:rsidRPr="00E4270D" w:rsidRDefault="007C4C81"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32.06</w:t>
            </w:r>
          </w:p>
        </w:tc>
        <w:tc>
          <w:tcPr>
            <w:tcW w:w="1009" w:type="dxa"/>
            <w:vMerge w:val="restart"/>
            <w:shd w:val="clear" w:color="auto" w:fill="FFFFFF"/>
          </w:tcPr>
          <w:p w14:paraId="61ADA566" w14:textId="77777777" w:rsidR="003E41EC" w:rsidRPr="00E4270D" w:rsidRDefault="007C4C81"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 xml:space="preserve">   </w:t>
            </w:r>
            <w:r w:rsidR="003E41EC" w:rsidRPr="00E4270D">
              <w:rPr>
                <w:rFonts w:asciiTheme="majorBidi" w:hAnsiTheme="majorBidi" w:cstheme="majorBidi"/>
                <w:color w:val="000000"/>
                <w:sz w:val="20"/>
                <w:szCs w:val="20"/>
              </w:rPr>
              <w:t>.00</w:t>
            </w:r>
          </w:p>
        </w:tc>
        <w:tc>
          <w:tcPr>
            <w:tcW w:w="3088" w:type="dxa"/>
            <w:vMerge w:val="restart"/>
            <w:shd w:val="clear" w:color="auto" w:fill="FFFFFF"/>
          </w:tcPr>
          <w:p w14:paraId="5DAF1431"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.60</w:t>
            </w:r>
          </w:p>
        </w:tc>
      </w:tr>
      <w:tr w:rsidR="003E41EC" w:rsidRPr="00E4270D" w14:paraId="21B79F49" w14:textId="77777777" w:rsidTr="00E4270D">
        <w:trPr>
          <w:cantSplit/>
        </w:trPr>
        <w:tc>
          <w:tcPr>
            <w:tcW w:w="903" w:type="dxa"/>
            <w:shd w:val="clear" w:color="auto" w:fill="FFFFFF"/>
            <w:vAlign w:val="center"/>
          </w:tcPr>
          <w:p w14:paraId="2FEFE43D" w14:textId="77777777" w:rsidR="003E41EC" w:rsidRPr="00E4270D" w:rsidRDefault="003E41EC" w:rsidP="001132F9">
            <w:pPr>
              <w:autoSpaceDE w:val="0"/>
              <w:autoSpaceDN w:val="0"/>
              <w:adjustRightInd w:val="0"/>
              <w:spacing w:after="0" w:line="240" w:lineRule="auto"/>
              <w:ind w:left="60" w:right="60"/>
              <w:rPr>
                <w:rFonts w:asciiTheme="majorBidi" w:hAnsiTheme="majorBidi" w:cstheme="majorBidi"/>
                <w:color w:val="000000"/>
                <w:sz w:val="20"/>
                <w:szCs w:val="20"/>
              </w:rPr>
            </w:pPr>
            <w:r w:rsidRPr="00E4270D">
              <w:rPr>
                <w:rFonts w:asciiTheme="majorBidi" w:hAnsiTheme="majorBidi" w:cstheme="majorBidi"/>
                <w:color w:val="000000"/>
                <w:sz w:val="20"/>
                <w:szCs w:val="20"/>
              </w:rPr>
              <w:t>CG</w:t>
            </w:r>
          </w:p>
        </w:tc>
        <w:tc>
          <w:tcPr>
            <w:tcW w:w="1009" w:type="dxa"/>
            <w:shd w:val="clear" w:color="auto" w:fill="FFFFFF"/>
          </w:tcPr>
          <w:p w14:paraId="2113C7E3"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5.41</w:t>
            </w:r>
          </w:p>
        </w:tc>
        <w:tc>
          <w:tcPr>
            <w:tcW w:w="1423" w:type="dxa"/>
            <w:shd w:val="clear" w:color="auto" w:fill="FFFFFF"/>
          </w:tcPr>
          <w:p w14:paraId="0EE80D22"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.41</w:t>
            </w:r>
          </w:p>
        </w:tc>
        <w:tc>
          <w:tcPr>
            <w:tcW w:w="1009" w:type="dxa"/>
            <w:shd w:val="clear" w:color="auto" w:fill="FFFFFF"/>
          </w:tcPr>
          <w:p w14:paraId="774C97A2"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r w:rsidRPr="00E4270D">
              <w:rPr>
                <w:rFonts w:asciiTheme="majorBidi" w:hAnsiTheme="majorBidi" w:cstheme="majorBidi"/>
                <w:color w:val="000000"/>
                <w:sz w:val="20"/>
                <w:szCs w:val="20"/>
              </w:rPr>
              <w:t>12</w:t>
            </w:r>
          </w:p>
        </w:tc>
        <w:tc>
          <w:tcPr>
            <w:tcW w:w="1009" w:type="dxa"/>
            <w:vMerge/>
            <w:shd w:val="clear" w:color="auto" w:fill="FFFFFF"/>
          </w:tcPr>
          <w:p w14:paraId="50620A3A"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1009" w:type="dxa"/>
            <w:vMerge/>
            <w:shd w:val="clear" w:color="auto" w:fill="FFFFFF"/>
          </w:tcPr>
          <w:p w14:paraId="5C2F2DF5"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c>
          <w:tcPr>
            <w:tcW w:w="3088" w:type="dxa"/>
            <w:vMerge/>
            <w:shd w:val="clear" w:color="auto" w:fill="FFFFFF"/>
          </w:tcPr>
          <w:p w14:paraId="1902F682" w14:textId="77777777" w:rsidR="003E41EC" w:rsidRPr="00E4270D" w:rsidRDefault="003E41EC" w:rsidP="001132F9">
            <w:pPr>
              <w:autoSpaceDE w:val="0"/>
              <w:autoSpaceDN w:val="0"/>
              <w:adjustRightInd w:val="0"/>
              <w:spacing w:after="0" w:line="240" w:lineRule="auto"/>
              <w:ind w:left="60" w:right="60"/>
              <w:jc w:val="center"/>
              <w:rPr>
                <w:rFonts w:asciiTheme="majorBidi" w:hAnsiTheme="majorBidi" w:cstheme="majorBidi"/>
                <w:color w:val="000000"/>
                <w:sz w:val="20"/>
                <w:szCs w:val="20"/>
              </w:rPr>
            </w:pPr>
          </w:p>
        </w:tc>
      </w:tr>
    </w:tbl>
    <w:p w14:paraId="1C6686FE" w14:textId="77777777" w:rsidR="003E41EC" w:rsidRPr="007E5185" w:rsidRDefault="003E41EC" w:rsidP="001132F9">
      <w:pPr>
        <w:spacing w:line="240" w:lineRule="auto"/>
        <w:rPr>
          <w:rFonts w:asciiTheme="majorBidi" w:hAnsiTheme="majorBidi" w:cstheme="majorBidi"/>
          <w:sz w:val="22"/>
        </w:rPr>
      </w:pPr>
    </w:p>
    <w:p w14:paraId="24557F17" w14:textId="77777777" w:rsidR="002810AD" w:rsidRDefault="008F3EAE" w:rsidP="00E4270D">
      <w:pPr>
        <w:spacing w:after="120" w:line="240" w:lineRule="auto"/>
        <w:ind w:left="115" w:right="72"/>
        <w:jc w:val="both"/>
        <w:rPr>
          <w:rFonts w:asciiTheme="majorBidi" w:hAnsiTheme="majorBidi" w:cstheme="majorBidi"/>
          <w:sz w:val="22"/>
        </w:rPr>
      </w:pPr>
      <w:r w:rsidRPr="007E5185">
        <w:rPr>
          <w:rFonts w:asciiTheme="majorBidi" w:hAnsiTheme="majorBidi" w:cstheme="majorBidi"/>
          <w:sz w:val="22"/>
        </w:rPr>
        <w:t xml:space="preserve">Because the </w:t>
      </w:r>
      <w:r w:rsidRPr="007E5185">
        <w:rPr>
          <w:rFonts w:asciiTheme="majorBidi" w:hAnsiTheme="majorBidi" w:cstheme="majorBidi"/>
          <w:i/>
          <w:iCs/>
          <w:sz w:val="22"/>
        </w:rPr>
        <w:t xml:space="preserve">p </w:t>
      </w:r>
      <w:r w:rsidRPr="007E5185">
        <w:rPr>
          <w:rFonts w:asciiTheme="majorBidi" w:hAnsiTheme="majorBidi" w:cstheme="majorBidi"/>
          <w:sz w:val="22"/>
        </w:rPr>
        <w:t>value corresponding to the Groups row was smaller than the significance level (.00 &lt; .05), it could be construed that</w:t>
      </w:r>
      <w:r w:rsidR="007C4C81">
        <w:rPr>
          <w:rFonts w:asciiTheme="majorBidi" w:hAnsiTheme="majorBidi" w:cstheme="majorBidi"/>
          <w:sz w:val="22"/>
        </w:rPr>
        <w:t xml:space="preserve"> </w:t>
      </w:r>
      <w:r w:rsidRPr="007E5185">
        <w:rPr>
          <w:rFonts w:asciiTheme="majorBidi" w:hAnsiTheme="majorBidi" w:cstheme="majorBidi"/>
          <w:sz w:val="22"/>
        </w:rPr>
        <w:t>LA learners in the CG significantly outperformed their counterparts in the EG.</w:t>
      </w:r>
    </w:p>
    <w:p w14:paraId="3D1B3D2A" w14:textId="77777777" w:rsidR="002A4940" w:rsidRPr="007E5185" w:rsidRDefault="002A4940" w:rsidP="00146C86">
      <w:pPr>
        <w:spacing w:after="120" w:line="240" w:lineRule="auto"/>
        <w:jc w:val="both"/>
        <w:rPr>
          <w:rFonts w:asciiTheme="majorBidi" w:hAnsiTheme="majorBidi" w:cstheme="majorBidi"/>
          <w:b/>
          <w:bCs/>
          <w:sz w:val="22"/>
        </w:rPr>
      </w:pPr>
      <w:r w:rsidRPr="007E5185">
        <w:rPr>
          <w:rFonts w:asciiTheme="majorBidi" w:hAnsiTheme="majorBidi" w:cstheme="majorBidi"/>
          <w:b/>
          <w:bCs/>
          <w:sz w:val="22"/>
        </w:rPr>
        <w:t>5. Discussion</w:t>
      </w:r>
    </w:p>
    <w:p w14:paraId="59063884" w14:textId="77777777" w:rsidR="008B202F" w:rsidRDefault="00675DB4" w:rsidP="00E4270D">
      <w:pPr>
        <w:spacing w:after="120" w:line="240" w:lineRule="auto"/>
        <w:ind w:left="115" w:right="72"/>
        <w:jc w:val="both"/>
        <w:rPr>
          <w:rFonts w:asciiTheme="majorBidi" w:hAnsiTheme="majorBidi" w:cstheme="majorBidi"/>
          <w:sz w:val="22"/>
        </w:rPr>
      </w:pPr>
      <w:r w:rsidRPr="007E5185">
        <w:rPr>
          <w:rFonts w:asciiTheme="majorBidi" w:hAnsiTheme="majorBidi" w:cstheme="majorBidi"/>
          <w:sz w:val="22"/>
        </w:rPr>
        <w:t>Foreign</w:t>
      </w:r>
      <w:r w:rsidR="00A00AD6" w:rsidRPr="007E5185">
        <w:rPr>
          <w:rFonts w:asciiTheme="majorBidi" w:hAnsiTheme="majorBidi" w:cstheme="majorBidi"/>
          <w:sz w:val="22"/>
        </w:rPr>
        <w:t xml:space="preserve"> language learning and teaching</w:t>
      </w:r>
      <w:r w:rsidR="000C2FF9" w:rsidRPr="007E5185">
        <w:rPr>
          <w:rFonts w:asciiTheme="majorBidi" w:hAnsiTheme="majorBidi" w:cstheme="majorBidi"/>
          <w:sz w:val="22"/>
        </w:rPr>
        <w:t xml:space="preserve"> </w:t>
      </w:r>
      <w:r w:rsidR="00A00AD6" w:rsidRPr="007E5185">
        <w:rPr>
          <w:rFonts w:asciiTheme="majorBidi" w:hAnsiTheme="majorBidi" w:cstheme="majorBidi"/>
          <w:sz w:val="22"/>
        </w:rPr>
        <w:t>can be considered a widely advocated area of interest in education.</w:t>
      </w:r>
      <w:r w:rsidR="000C2FF9" w:rsidRPr="007E5185">
        <w:rPr>
          <w:rFonts w:asciiTheme="majorBidi" w:hAnsiTheme="majorBidi" w:cstheme="majorBidi"/>
          <w:sz w:val="22"/>
        </w:rPr>
        <w:t xml:space="preserve"> </w:t>
      </w:r>
      <w:r w:rsidR="00A00AD6" w:rsidRPr="007E5185">
        <w:rPr>
          <w:rFonts w:asciiTheme="majorBidi" w:hAnsiTheme="majorBidi" w:cstheme="majorBidi"/>
          <w:sz w:val="22"/>
        </w:rPr>
        <w:t xml:space="preserve">The importance of </w:t>
      </w:r>
      <w:r w:rsidR="00006F5A" w:rsidRPr="007E5185">
        <w:rPr>
          <w:rFonts w:asciiTheme="majorBidi" w:hAnsiTheme="majorBidi" w:cstheme="majorBidi"/>
          <w:sz w:val="22"/>
        </w:rPr>
        <w:t xml:space="preserve">the </w:t>
      </w:r>
      <w:r w:rsidR="00A00AD6" w:rsidRPr="007E5185">
        <w:rPr>
          <w:rFonts w:asciiTheme="majorBidi" w:hAnsiTheme="majorBidi" w:cstheme="majorBidi"/>
          <w:sz w:val="22"/>
        </w:rPr>
        <w:t xml:space="preserve">learners’ </w:t>
      </w:r>
      <w:r w:rsidR="000C2FF9" w:rsidRPr="007E5185">
        <w:rPr>
          <w:rFonts w:asciiTheme="majorBidi" w:hAnsiTheme="majorBidi" w:cstheme="majorBidi"/>
          <w:sz w:val="22"/>
        </w:rPr>
        <w:t>roles</w:t>
      </w:r>
      <w:r w:rsidR="00A00AD6" w:rsidRPr="007E5185">
        <w:rPr>
          <w:rFonts w:asciiTheme="majorBidi" w:hAnsiTheme="majorBidi" w:cstheme="majorBidi"/>
          <w:sz w:val="22"/>
        </w:rPr>
        <w:t xml:space="preserve"> and the emphasis on learner-centered education during the past decades have spurred educati</w:t>
      </w:r>
      <w:r w:rsidR="00415A01">
        <w:rPr>
          <w:rFonts w:asciiTheme="majorBidi" w:hAnsiTheme="majorBidi" w:cstheme="majorBidi"/>
          <w:sz w:val="22"/>
        </w:rPr>
        <w:t>on to an urgent reform (Johnson,</w:t>
      </w:r>
      <w:r w:rsidR="00A00AD6" w:rsidRPr="007E5185">
        <w:rPr>
          <w:rFonts w:asciiTheme="majorBidi" w:hAnsiTheme="majorBidi" w:cstheme="majorBidi"/>
          <w:sz w:val="22"/>
        </w:rPr>
        <w:t xml:space="preserve"> 2013). Such a learner-centered approach recognizes individual differences and the need for treating in</w:t>
      </w:r>
      <w:r w:rsidRPr="007E5185">
        <w:rPr>
          <w:rFonts w:asciiTheme="majorBidi" w:hAnsiTheme="majorBidi" w:cstheme="majorBidi"/>
          <w:sz w:val="22"/>
        </w:rPr>
        <w:t xml:space="preserve">dividual students differently. </w:t>
      </w:r>
    </w:p>
    <w:p w14:paraId="5EB30C00" w14:textId="77777777" w:rsidR="006F29FF" w:rsidRPr="007E5185" w:rsidRDefault="008B202F" w:rsidP="00146C86">
      <w:pPr>
        <w:spacing w:after="120" w:line="240" w:lineRule="auto"/>
        <w:ind w:left="115" w:right="72" w:firstLine="562"/>
        <w:jc w:val="both"/>
        <w:rPr>
          <w:rFonts w:asciiTheme="majorBidi" w:hAnsiTheme="majorBidi" w:cstheme="majorBidi"/>
          <w:sz w:val="22"/>
        </w:rPr>
      </w:pPr>
      <w:r>
        <w:rPr>
          <w:rFonts w:asciiTheme="majorBidi" w:hAnsiTheme="majorBidi" w:cstheme="majorBidi"/>
          <w:sz w:val="22"/>
        </w:rPr>
        <w:t xml:space="preserve">To address the first research question in this study, it was found that students in both experimental and control groups developed their speaking ability; however, no statistically significant difference existed between the two groups in the end which was contrary to Dobao and Blum (2013), Pauli, et al. (2016), and Zamani (2016). </w:t>
      </w:r>
      <w:r w:rsidR="00315982" w:rsidRPr="007E5185">
        <w:rPr>
          <w:rFonts w:asciiTheme="majorBidi" w:eastAsia="Calibri" w:hAnsiTheme="majorBidi" w:cstheme="majorBidi"/>
          <w:sz w:val="22"/>
        </w:rPr>
        <w:t xml:space="preserve">One important advantage of </w:t>
      </w:r>
      <w:r>
        <w:rPr>
          <w:rFonts w:asciiTheme="majorBidi" w:eastAsia="Calibri" w:hAnsiTheme="majorBidi" w:cstheme="majorBidi"/>
          <w:sz w:val="22"/>
        </w:rPr>
        <w:t>S</w:t>
      </w:r>
      <w:r w:rsidR="00315982" w:rsidRPr="007E5185">
        <w:rPr>
          <w:rFonts w:asciiTheme="majorBidi" w:eastAsia="Calibri" w:hAnsiTheme="majorBidi" w:cstheme="majorBidi"/>
          <w:sz w:val="22"/>
        </w:rPr>
        <w:t>tudents-as-</w:t>
      </w:r>
      <w:r>
        <w:rPr>
          <w:rFonts w:asciiTheme="majorBidi" w:eastAsia="Calibri" w:hAnsiTheme="majorBidi" w:cstheme="majorBidi"/>
          <w:sz w:val="22"/>
        </w:rPr>
        <w:t>P</w:t>
      </w:r>
      <w:r w:rsidR="00315982" w:rsidRPr="007E5185">
        <w:rPr>
          <w:rFonts w:asciiTheme="majorBidi" w:eastAsia="Calibri" w:hAnsiTheme="majorBidi" w:cstheme="majorBidi"/>
          <w:sz w:val="22"/>
        </w:rPr>
        <w:t xml:space="preserve">artners was that it encouraged students' involvement and provided more opportunities for interaction between students and the teacher, as well as among the students themselves which was in line with </w:t>
      </w:r>
      <w:r>
        <w:rPr>
          <w:rFonts w:asciiTheme="majorBidi" w:hAnsiTheme="majorBidi" w:cstheme="majorBidi"/>
          <w:sz w:val="22"/>
        </w:rPr>
        <w:t>Buckley, et al.</w:t>
      </w:r>
      <w:r w:rsidR="00315982" w:rsidRPr="007E5185">
        <w:rPr>
          <w:rFonts w:asciiTheme="majorBidi" w:hAnsiTheme="majorBidi" w:cstheme="majorBidi"/>
          <w:sz w:val="22"/>
        </w:rPr>
        <w:t xml:space="preserve"> (2015</w:t>
      </w:r>
      <w:r w:rsidR="00315982" w:rsidRPr="007E5185">
        <w:rPr>
          <w:rFonts w:asciiTheme="majorBidi" w:eastAsia="Calibri" w:hAnsiTheme="majorBidi" w:cstheme="majorBidi"/>
          <w:sz w:val="22"/>
        </w:rPr>
        <w:t xml:space="preserve">). </w:t>
      </w:r>
      <w:r>
        <w:rPr>
          <w:rFonts w:asciiTheme="majorBidi" w:hAnsiTheme="majorBidi" w:cstheme="majorBidi"/>
          <w:sz w:val="22"/>
        </w:rPr>
        <w:t>Furthermore, students in the experimental groups claimed that their learning and retention were fostered due to developing a sense of community, belonging, and support, as well as practicing doing the tasks and activities which were at an appropriate level of difficulty</w:t>
      </w:r>
      <w:r w:rsidR="006F5517">
        <w:rPr>
          <w:rFonts w:asciiTheme="majorBidi" w:hAnsiTheme="majorBidi" w:cstheme="majorBidi"/>
          <w:sz w:val="22"/>
        </w:rPr>
        <w:t>. It</w:t>
      </w:r>
      <w:r w:rsidR="00E5027A">
        <w:rPr>
          <w:rFonts w:asciiTheme="majorBidi" w:hAnsiTheme="majorBidi" w:cstheme="majorBidi"/>
          <w:sz w:val="22"/>
        </w:rPr>
        <w:t xml:space="preserve"> was </w:t>
      </w:r>
      <w:r w:rsidR="006F5517">
        <w:rPr>
          <w:rFonts w:asciiTheme="majorBidi" w:hAnsiTheme="majorBidi" w:cstheme="majorBidi"/>
          <w:sz w:val="22"/>
        </w:rPr>
        <w:t xml:space="preserve">also </w:t>
      </w:r>
      <w:r w:rsidR="00E5027A">
        <w:rPr>
          <w:rFonts w:asciiTheme="majorBidi" w:hAnsiTheme="majorBidi" w:cstheme="majorBidi"/>
          <w:sz w:val="22"/>
        </w:rPr>
        <w:t xml:space="preserve">supported by Lech, </w:t>
      </w:r>
      <w:r w:rsidR="00D07274">
        <w:rPr>
          <w:rFonts w:asciiTheme="majorBidi" w:hAnsiTheme="majorBidi" w:cstheme="majorBidi"/>
          <w:sz w:val="22"/>
        </w:rPr>
        <w:t>et al. (2017), and Thomas, (2012</w:t>
      </w:r>
      <w:r w:rsidR="00E5027A">
        <w:rPr>
          <w:rFonts w:asciiTheme="majorBidi" w:hAnsiTheme="majorBidi" w:cstheme="majorBidi"/>
          <w:sz w:val="22"/>
        </w:rPr>
        <w:t>).</w:t>
      </w:r>
    </w:p>
    <w:p w14:paraId="15E032FF" w14:textId="77777777" w:rsidR="00E40782" w:rsidRPr="00C32BC0" w:rsidRDefault="006F5517" w:rsidP="00146C86">
      <w:pPr>
        <w:spacing w:after="120" w:line="240" w:lineRule="auto"/>
        <w:ind w:left="115" w:right="72" w:firstLine="562"/>
        <w:jc w:val="both"/>
        <w:rPr>
          <w:rFonts w:asciiTheme="majorBidi" w:eastAsia="Calibri" w:hAnsiTheme="majorBidi" w:cstheme="majorBidi"/>
          <w:sz w:val="22"/>
        </w:rPr>
      </w:pPr>
      <w:r w:rsidRPr="007E5185">
        <w:rPr>
          <w:rFonts w:asciiTheme="majorBidi" w:hAnsiTheme="majorBidi" w:cstheme="majorBidi"/>
          <w:sz w:val="22"/>
        </w:rPr>
        <w:t>Streaming</w:t>
      </w:r>
      <w:r w:rsidR="00A85F16" w:rsidRPr="007E5185">
        <w:rPr>
          <w:rFonts w:asciiTheme="majorBidi" w:hAnsiTheme="majorBidi" w:cstheme="majorBidi"/>
          <w:sz w:val="22"/>
        </w:rPr>
        <w:t xml:space="preserve"> students regarding their language abilities </w:t>
      </w:r>
      <w:r w:rsidR="007F6FD5" w:rsidRPr="007E5185">
        <w:rPr>
          <w:rFonts w:asciiTheme="majorBidi" w:hAnsiTheme="majorBidi" w:cstheme="majorBidi"/>
          <w:sz w:val="22"/>
        </w:rPr>
        <w:t>made it easier for the t</w:t>
      </w:r>
      <w:r w:rsidR="00A85F16" w:rsidRPr="007E5185">
        <w:rPr>
          <w:rFonts w:asciiTheme="majorBidi" w:hAnsiTheme="majorBidi" w:cstheme="majorBidi"/>
          <w:sz w:val="22"/>
        </w:rPr>
        <w:t>eacher</w:t>
      </w:r>
      <w:r w:rsidR="007F6FD5" w:rsidRPr="007E5185">
        <w:rPr>
          <w:rFonts w:asciiTheme="majorBidi" w:hAnsiTheme="majorBidi" w:cstheme="majorBidi"/>
          <w:sz w:val="22"/>
        </w:rPr>
        <w:t xml:space="preserve"> to </w:t>
      </w:r>
      <w:r w:rsidR="00A85F16" w:rsidRPr="007E5185">
        <w:rPr>
          <w:rFonts w:asciiTheme="majorBidi" w:hAnsiTheme="majorBidi" w:cstheme="majorBidi"/>
          <w:sz w:val="22"/>
        </w:rPr>
        <w:t>manage the available teaching time</w:t>
      </w:r>
      <w:r w:rsidR="00675DB4" w:rsidRPr="007E5185">
        <w:rPr>
          <w:rFonts w:asciiTheme="majorBidi" w:hAnsiTheme="majorBidi" w:cstheme="majorBidi"/>
          <w:sz w:val="22"/>
        </w:rPr>
        <w:t xml:space="preserve"> </w:t>
      </w:r>
      <w:r w:rsidR="00A85F16" w:rsidRPr="007E5185">
        <w:rPr>
          <w:rFonts w:asciiTheme="majorBidi" w:hAnsiTheme="majorBidi" w:cstheme="majorBidi"/>
          <w:sz w:val="22"/>
        </w:rPr>
        <w:t>in a more reasonable way</w:t>
      </w:r>
      <w:r w:rsidR="00675DB4" w:rsidRPr="007E5185">
        <w:rPr>
          <w:rFonts w:asciiTheme="majorBidi" w:hAnsiTheme="majorBidi" w:cstheme="majorBidi"/>
          <w:sz w:val="22"/>
        </w:rPr>
        <w:t>,</w:t>
      </w:r>
      <w:r w:rsidR="00A85F16" w:rsidRPr="007E5185">
        <w:rPr>
          <w:rFonts w:asciiTheme="majorBidi" w:hAnsiTheme="majorBidi" w:cstheme="majorBidi"/>
          <w:sz w:val="22"/>
        </w:rPr>
        <w:t xml:space="preserve"> plan the teaching</w:t>
      </w:r>
      <w:r w:rsidR="00675DB4" w:rsidRPr="007E5185">
        <w:rPr>
          <w:rFonts w:asciiTheme="majorBidi" w:hAnsiTheme="majorBidi" w:cstheme="majorBidi"/>
          <w:sz w:val="22"/>
        </w:rPr>
        <w:t>, and</w:t>
      </w:r>
      <w:r w:rsidR="00A85F16" w:rsidRPr="007E5185">
        <w:rPr>
          <w:rFonts w:asciiTheme="majorBidi" w:hAnsiTheme="majorBidi" w:cstheme="majorBidi"/>
          <w:sz w:val="22"/>
        </w:rPr>
        <w:t xml:space="preserve"> </w:t>
      </w:r>
      <w:r w:rsidR="00675DB4" w:rsidRPr="007E5185">
        <w:rPr>
          <w:rFonts w:asciiTheme="majorBidi" w:eastAsia="Calibri" w:hAnsiTheme="majorBidi" w:cstheme="majorBidi"/>
          <w:sz w:val="22"/>
        </w:rPr>
        <w:t xml:space="preserve">adapt the method or the content of teaching and learning </w:t>
      </w:r>
      <w:r w:rsidR="00A85F16" w:rsidRPr="007E5185">
        <w:rPr>
          <w:rFonts w:asciiTheme="majorBidi" w:hAnsiTheme="majorBidi" w:cstheme="majorBidi"/>
          <w:sz w:val="22"/>
        </w:rPr>
        <w:t xml:space="preserve">based on the students' command of </w:t>
      </w:r>
      <w:r w:rsidR="00046F20" w:rsidRPr="007E5185">
        <w:rPr>
          <w:rFonts w:asciiTheme="majorBidi" w:hAnsiTheme="majorBidi" w:cstheme="majorBidi"/>
          <w:sz w:val="22"/>
        </w:rPr>
        <w:t xml:space="preserve">the </w:t>
      </w:r>
      <w:r w:rsidR="00A85F16" w:rsidRPr="007E5185">
        <w:rPr>
          <w:rFonts w:asciiTheme="majorBidi" w:hAnsiTheme="majorBidi" w:cstheme="majorBidi"/>
          <w:sz w:val="22"/>
        </w:rPr>
        <w:t xml:space="preserve">language. </w:t>
      </w:r>
      <w:r w:rsidR="00666BD9" w:rsidRPr="007E5185">
        <w:rPr>
          <w:rFonts w:asciiTheme="majorBidi" w:eastAsia="Calibri" w:hAnsiTheme="majorBidi" w:cstheme="majorBidi"/>
          <w:sz w:val="22"/>
        </w:rPr>
        <w:t>Moreover, students receive</w:t>
      </w:r>
      <w:r w:rsidR="007F6FD5" w:rsidRPr="007E5185">
        <w:rPr>
          <w:rFonts w:asciiTheme="majorBidi" w:eastAsia="Calibri" w:hAnsiTheme="majorBidi" w:cstheme="majorBidi"/>
          <w:sz w:val="22"/>
        </w:rPr>
        <w:t>d</w:t>
      </w:r>
      <w:r w:rsidR="00666BD9" w:rsidRPr="007E5185">
        <w:rPr>
          <w:rFonts w:asciiTheme="majorBidi" w:eastAsia="Calibri" w:hAnsiTheme="majorBidi" w:cstheme="majorBidi"/>
          <w:sz w:val="22"/>
        </w:rPr>
        <w:t xml:space="preserve"> more realistic material</w:t>
      </w:r>
      <w:r w:rsidR="009261CF">
        <w:rPr>
          <w:rFonts w:asciiTheme="majorBidi" w:eastAsia="Calibri" w:hAnsiTheme="majorBidi" w:cstheme="majorBidi"/>
          <w:sz w:val="22"/>
        </w:rPr>
        <w:t>s</w:t>
      </w:r>
      <w:r w:rsidR="00666BD9" w:rsidRPr="007E5185">
        <w:rPr>
          <w:rFonts w:asciiTheme="majorBidi" w:eastAsia="Calibri" w:hAnsiTheme="majorBidi" w:cstheme="majorBidi"/>
          <w:sz w:val="22"/>
        </w:rPr>
        <w:t xml:space="preserve"> or measurement criteria. Therefore, instead of competing against each other, students cooperate</w:t>
      </w:r>
      <w:r w:rsidR="007F6FD5" w:rsidRPr="007E5185">
        <w:rPr>
          <w:rFonts w:asciiTheme="majorBidi" w:eastAsia="Calibri" w:hAnsiTheme="majorBidi" w:cstheme="majorBidi"/>
          <w:sz w:val="22"/>
        </w:rPr>
        <w:t>d</w:t>
      </w:r>
      <w:r w:rsidR="00666BD9" w:rsidRPr="007E5185">
        <w:rPr>
          <w:rFonts w:asciiTheme="majorBidi" w:eastAsia="Calibri" w:hAnsiTheme="majorBidi" w:cstheme="majorBidi"/>
          <w:sz w:val="22"/>
        </w:rPr>
        <w:t xml:space="preserve"> </w:t>
      </w:r>
      <w:r w:rsidR="007F6FD5" w:rsidRPr="007E5185">
        <w:rPr>
          <w:rFonts w:asciiTheme="majorBidi" w:eastAsia="Calibri" w:hAnsiTheme="majorBidi" w:cstheme="majorBidi"/>
          <w:sz w:val="22"/>
        </w:rPr>
        <w:t>with</w:t>
      </w:r>
      <w:r w:rsidR="00666BD9" w:rsidRPr="007E5185">
        <w:rPr>
          <w:rFonts w:asciiTheme="majorBidi" w:eastAsia="Calibri" w:hAnsiTheme="majorBidi" w:cstheme="majorBidi"/>
          <w:sz w:val="22"/>
        </w:rPr>
        <w:t xml:space="preserve"> their peers and the teacher.</w:t>
      </w:r>
      <w:r>
        <w:rPr>
          <w:rFonts w:asciiTheme="majorBidi" w:eastAsia="Calibri" w:hAnsiTheme="majorBidi" w:cstheme="majorBidi"/>
          <w:sz w:val="22"/>
        </w:rPr>
        <w:t xml:space="preserve"> </w:t>
      </w:r>
      <w:r w:rsidRPr="006F5517">
        <w:rPr>
          <w:rFonts w:asciiTheme="majorBidi" w:eastAsia="Calibri" w:hAnsiTheme="majorBidi" w:cstheme="majorBidi"/>
          <w:sz w:val="22"/>
        </w:rPr>
        <w:t>To address the second research question,</w:t>
      </w:r>
      <w:r>
        <w:rPr>
          <w:rFonts w:asciiTheme="majorBidi" w:eastAsia="Calibri" w:hAnsiTheme="majorBidi" w:cstheme="majorBidi"/>
          <w:sz w:val="22"/>
        </w:rPr>
        <w:t xml:space="preserve"> although from the mean scores </w:t>
      </w:r>
      <w:r w:rsidR="00E40782">
        <w:rPr>
          <w:rFonts w:asciiTheme="majorBidi" w:eastAsia="Calibri" w:hAnsiTheme="majorBidi" w:cstheme="majorBidi"/>
          <w:sz w:val="22"/>
        </w:rPr>
        <w:t xml:space="preserve">of the students in the experimental groups </w:t>
      </w:r>
      <w:r>
        <w:rPr>
          <w:rFonts w:asciiTheme="majorBidi" w:eastAsia="Calibri" w:hAnsiTheme="majorBidi" w:cstheme="majorBidi"/>
          <w:sz w:val="22"/>
        </w:rPr>
        <w:t xml:space="preserve">it was inferred that high language-ability students performed better than the mixed language-ability students and </w:t>
      </w:r>
      <w:r w:rsidR="00E40782">
        <w:rPr>
          <w:rFonts w:asciiTheme="majorBidi" w:eastAsia="Calibri" w:hAnsiTheme="majorBidi" w:cstheme="majorBidi"/>
          <w:sz w:val="22"/>
        </w:rPr>
        <w:t>mixed language-ability students performed better than the low language-ability ones, t</w:t>
      </w:r>
      <w:r w:rsidR="00E40782" w:rsidRPr="00E40782">
        <w:rPr>
          <w:rFonts w:asciiTheme="majorBidi" w:eastAsia="Calibri" w:hAnsiTheme="majorBidi" w:cstheme="majorBidi"/>
          <w:sz w:val="22"/>
        </w:rPr>
        <w:t xml:space="preserve">he results of the post hoc study revealed that </w:t>
      </w:r>
      <w:r w:rsidR="00E40782">
        <w:rPr>
          <w:rFonts w:asciiTheme="majorBidi" w:eastAsia="Calibri" w:hAnsiTheme="majorBidi" w:cstheme="majorBidi"/>
          <w:sz w:val="22"/>
        </w:rPr>
        <w:t xml:space="preserve">development in the performances of the students in the low and high language-ability groups were not significantly different. This finding was in line with Khazaeenezhad, et al. (2012). However, development in the </w:t>
      </w:r>
      <w:r w:rsidR="00E40782" w:rsidRPr="00E40782">
        <w:rPr>
          <w:rFonts w:asciiTheme="majorBidi" w:eastAsia="Calibri" w:hAnsiTheme="majorBidi" w:cstheme="majorBidi"/>
          <w:sz w:val="22"/>
        </w:rPr>
        <w:t xml:space="preserve">performances of the students in the low and </w:t>
      </w:r>
      <w:r w:rsidR="00E40782">
        <w:rPr>
          <w:rFonts w:asciiTheme="majorBidi" w:eastAsia="Calibri" w:hAnsiTheme="majorBidi" w:cstheme="majorBidi"/>
          <w:sz w:val="22"/>
        </w:rPr>
        <w:t>mixed language-</w:t>
      </w:r>
      <w:r w:rsidR="00E40782" w:rsidRPr="00E40782">
        <w:rPr>
          <w:rFonts w:asciiTheme="majorBidi" w:eastAsia="Calibri" w:hAnsiTheme="majorBidi" w:cstheme="majorBidi"/>
          <w:sz w:val="22"/>
        </w:rPr>
        <w:t>ability groups were significantly different.</w:t>
      </w:r>
      <w:r w:rsidR="00E40782">
        <w:rPr>
          <w:rFonts w:asciiTheme="majorBidi" w:eastAsia="Calibri" w:hAnsiTheme="majorBidi" w:cstheme="majorBidi"/>
          <w:sz w:val="22"/>
        </w:rPr>
        <w:t xml:space="preserve"> </w:t>
      </w:r>
      <w:r w:rsidR="00E40782" w:rsidRPr="00E40782">
        <w:rPr>
          <w:rFonts w:asciiTheme="majorBidi" w:eastAsia="Calibri" w:hAnsiTheme="majorBidi" w:cstheme="majorBidi"/>
          <w:sz w:val="22"/>
        </w:rPr>
        <w:t xml:space="preserve">Mixed-ability group performed significantly better than the low-ability </w:t>
      </w:r>
      <w:r w:rsidR="00E40782" w:rsidRPr="00C32BC0">
        <w:rPr>
          <w:rFonts w:asciiTheme="majorBidi" w:eastAsia="Calibri" w:hAnsiTheme="majorBidi" w:cstheme="majorBidi"/>
          <w:sz w:val="22"/>
        </w:rPr>
        <w:t xml:space="preserve">group. </w:t>
      </w:r>
      <w:r w:rsidR="00C32BC0">
        <w:rPr>
          <w:rFonts w:asciiTheme="majorBidi" w:eastAsia="Calibri" w:hAnsiTheme="majorBidi" w:cstheme="majorBidi"/>
          <w:sz w:val="22"/>
        </w:rPr>
        <w:t xml:space="preserve">In addition, </w:t>
      </w:r>
      <w:r w:rsidR="00C32BC0" w:rsidRPr="00C32BC0">
        <w:rPr>
          <w:rFonts w:asciiTheme="majorBidi" w:eastAsia="Calibri" w:hAnsiTheme="majorBidi" w:cstheme="majorBidi"/>
          <w:sz w:val="22"/>
        </w:rPr>
        <w:t>PA positively influenced</w:t>
      </w:r>
      <w:r w:rsidR="00C32BC0">
        <w:rPr>
          <w:rFonts w:asciiTheme="majorBidi" w:eastAsia="Calibri" w:hAnsiTheme="majorBidi" w:cstheme="majorBidi"/>
          <w:sz w:val="22"/>
        </w:rPr>
        <w:t xml:space="preserve"> higher competency students’ identity and view of themselves in the mixed language-ability group. They</w:t>
      </w:r>
      <w:r w:rsidR="00C32BC0" w:rsidRPr="00C32BC0">
        <w:rPr>
          <w:rFonts w:asciiTheme="majorBidi" w:hAnsiTheme="majorBidi" w:cstheme="majorBidi"/>
          <w:sz w:val="22"/>
        </w:rPr>
        <w:t xml:space="preserve"> </w:t>
      </w:r>
      <w:r w:rsidR="00C32BC0" w:rsidRPr="00C32BC0">
        <w:rPr>
          <w:rFonts w:asciiTheme="majorBidi" w:eastAsia="Calibri" w:hAnsiTheme="majorBidi" w:cstheme="majorBidi"/>
          <w:sz w:val="22"/>
        </w:rPr>
        <w:t>were more frequently asked for help or leadership</w:t>
      </w:r>
      <w:r w:rsidR="00C32BC0">
        <w:rPr>
          <w:rFonts w:asciiTheme="majorBidi" w:eastAsia="Calibri" w:hAnsiTheme="majorBidi" w:cstheme="majorBidi"/>
          <w:sz w:val="22"/>
        </w:rPr>
        <w:t xml:space="preserve"> and consolidated their knowledge by explaining the material to the weaker members of the group which was in line with Allwright (2014).</w:t>
      </w:r>
      <w:r w:rsidR="00C32BC0" w:rsidRPr="00C32BC0">
        <w:rPr>
          <w:rFonts w:asciiTheme="majorBidi" w:hAnsiTheme="majorBidi" w:cstheme="majorBidi"/>
          <w:sz w:val="22"/>
        </w:rPr>
        <w:t xml:space="preserve"> </w:t>
      </w:r>
      <w:r w:rsidR="00C32BC0" w:rsidRPr="00C32BC0">
        <w:rPr>
          <w:rFonts w:asciiTheme="majorBidi" w:eastAsia="Calibri" w:hAnsiTheme="majorBidi" w:cstheme="majorBidi"/>
          <w:sz w:val="22"/>
        </w:rPr>
        <w:t xml:space="preserve">Hence, </w:t>
      </w:r>
      <w:r w:rsidR="00C32BC0">
        <w:rPr>
          <w:rFonts w:asciiTheme="majorBidi" w:eastAsia="Calibri" w:hAnsiTheme="majorBidi" w:cstheme="majorBidi"/>
          <w:sz w:val="22"/>
        </w:rPr>
        <w:t xml:space="preserve">in the mixed language-ability group, </w:t>
      </w:r>
      <w:r w:rsidR="00C32BC0" w:rsidRPr="00C32BC0">
        <w:rPr>
          <w:rFonts w:asciiTheme="majorBidi" w:eastAsia="Calibri" w:hAnsiTheme="majorBidi" w:cstheme="majorBidi"/>
          <w:sz w:val="22"/>
        </w:rPr>
        <w:t xml:space="preserve">all </w:t>
      </w:r>
      <w:r w:rsidR="00C32BC0" w:rsidRPr="00C32BC0">
        <w:rPr>
          <w:rFonts w:asciiTheme="majorBidi" w:eastAsia="Calibri" w:hAnsiTheme="majorBidi" w:cstheme="majorBidi"/>
          <w:sz w:val="22"/>
        </w:rPr>
        <w:lastRenderedPageBreak/>
        <w:t>members, low or high language-ability, challenged to improve. The same finding was reported by Ballantine and Larres (2007).</w:t>
      </w:r>
    </w:p>
    <w:p w14:paraId="55110FB1" w14:textId="77777777" w:rsidR="00C32BC0" w:rsidRPr="00A039C6" w:rsidRDefault="00C32BC0" w:rsidP="00146C86">
      <w:pPr>
        <w:spacing w:after="120" w:line="240" w:lineRule="auto"/>
        <w:ind w:left="115" w:right="72" w:firstLine="562"/>
        <w:jc w:val="both"/>
        <w:rPr>
          <w:rFonts w:asciiTheme="majorBidi" w:eastAsia="Calibri" w:hAnsiTheme="majorBidi" w:cstheme="majorBidi"/>
          <w:sz w:val="22"/>
        </w:rPr>
      </w:pPr>
      <w:r w:rsidRPr="00C32BC0">
        <w:rPr>
          <w:rFonts w:asciiTheme="majorBidi" w:eastAsia="Calibri" w:hAnsiTheme="majorBidi" w:cstheme="majorBidi"/>
          <w:sz w:val="22"/>
        </w:rPr>
        <w:t xml:space="preserve">In </w:t>
      </w:r>
      <w:r>
        <w:rPr>
          <w:rFonts w:asciiTheme="majorBidi" w:eastAsia="Calibri" w:hAnsiTheme="majorBidi" w:cstheme="majorBidi"/>
          <w:sz w:val="22"/>
        </w:rPr>
        <w:t xml:space="preserve">the control </w:t>
      </w:r>
      <w:r w:rsidRPr="00C32BC0">
        <w:rPr>
          <w:rFonts w:asciiTheme="majorBidi" w:eastAsia="Calibri" w:hAnsiTheme="majorBidi" w:cstheme="majorBidi"/>
          <w:sz w:val="22"/>
        </w:rPr>
        <w:t>groups, high-ability students</w:t>
      </w:r>
      <w:r w:rsidRPr="00C32BC0">
        <w:rPr>
          <w:rFonts w:asciiTheme="majorBidi" w:eastAsia="Calibri" w:hAnsiTheme="majorBidi" w:cstheme="majorBidi"/>
          <w:b/>
          <w:bCs/>
          <w:sz w:val="22"/>
        </w:rPr>
        <w:t xml:space="preserve"> </w:t>
      </w:r>
      <w:r w:rsidRPr="00C32BC0">
        <w:rPr>
          <w:rFonts w:asciiTheme="majorBidi" w:eastAsia="Calibri" w:hAnsiTheme="majorBidi" w:cstheme="majorBidi"/>
          <w:sz w:val="22"/>
        </w:rPr>
        <w:t>performed significantly better than the other groups</w:t>
      </w:r>
      <w:r>
        <w:rPr>
          <w:rFonts w:asciiTheme="majorBidi" w:eastAsia="Calibri" w:hAnsiTheme="majorBidi" w:cstheme="majorBidi"/>
          <w:sz w:val="22"/>
        </w:rPr>
        <w:t>.</w:t>
      </w:r>
      <w:r w:rsidRPr="00C32BC0">
        <w:rPr>
          <w:rFonts w:asciiTheme="majorBidi" w:eastAsia="Calibri" w:hAnsiTheme="majorBidi" w:cstheme="majorBidi"/>
          <w:sz w:val="22"/>
        </w:rPr>
        <w:t xml:space="preserve"> The difference was statistically significant between low and high as well as between mixed and low language-ability students. However,</w:t>
      </w:r>
      <w:r w:rsidR="00D03749">
        <w:rPr>
          <w:rFonts w:asciiTheme="majorBidi" w:eastAsia="Calibri" w:hAnsiTheme="majorBidi" w:cstheme="majorBidi"/>
          <w:sz w:val="22"/>
        </w:rPr>
        <w:t xml:space="preserve"> low language-ability students performed significantly better than t</w:t>
      </w:r>
      <w:r w:rsidR="00DE56C9">
        <w:rPr>
          <w:rFonts w:asciiTheme="majorBidi" w:eastAsia="Calibri" w:hAnsiTheme="majorBidi" w:cstheme="majorBidi"/>
          <w:sz w:val="22"/>
        </w:rPr>
        <w:t>he mixed language-ability group.</w:t>
      </w:r>
    </w:p>
    <w:p w14:paraId="0A93D5D7" w14:textId="77777777" w:rsidR="00755EFF" w:rsidRPr="007E5185" w:rsidRDefault="00AF7671" w:rsidP="00146C86">
      <w:pPr>
        <w:spacing w:after="120" w:line="240" w:lineRule="auto"/>
        <w:ind w:left="115" w:right="72" w:firstLine="562"/>
        <w:jc w:val="both"/>
        <w:rPr>
          <w:rFonts w:asciiTheme="majorBidi" w:hAnsiTheme="majorBidi" w:cstheme="majorBidi"/>
          <w:sz w:val="22"/>
        </w:rPr>
      </w:pPr>
      <w:r w:rsidRPr="007E5185">
        <w:rPr>
          <w:rFonts w:asciiTheme="majorBidi" w:eastAsia="Calibri" w:hAnsiTheme="majorBidi" w:cstheme="majorBidi"/>
          <w:sz w:val="22"/>
        </w:rPr>
        <w:t>A</w:t>
      </w:r>
      <w:r w:rsidR="00DE56C9">
        <w:rPr>
          <w:rFonts w:asciiTheme="majorBidi" w:eastAsia="Calibri" w:hAnsiTheme="majorBidi" w:cstheme="majorBidi"/>
          <w:sz w:val="22"/>
        </w:rPr>
        <w:t>ll in all, a</w:t>
      </w:r>
      <w:r w:rsidRPr="007E5185">
        <w:rPr>
          <w:rFonts w:asciiTheme="majorBidi" w:eastAsia="Calibri" w:hAnsiTheme="majorBidi" w:cstheme="majorBidi"/>
          <w:sz w:val="22"/>
        </w:rPr>
        <w:t xml:space="preserve">lthough ability-grouping protected the low-ability students from peer-pressure, </w:t>
      </w:r>
      <w:r w:rsidR="00DE56C9">
        <w:rPr>
          <w:rFonts w:asciiTheme="majorBidi" w:eastAsia="Calibri" w:hAnsiTheme="majorBidi" w:cstheme="majorBidi"/>
          <w:sz w:val="22"/>
        </w:rPr>
        <w:t xml:space="preserve">in the experimental group, </w:t>
      </w:r>
      <w:r w:rsidRPr="007E5185">
        <w:rPr>
          <w:rFonts w:asciiTheme="majorBidi" w:eastAsia="Calibri" w:hAnsiTheme="majorBidi" w:cstheme="majorBidi"/>
          <w:sz w:val="22"/>
        </w:rPr>
        <w:t>l</w:t>
      </w:r>
      <w:r w:rsidR="009141B3" w:rsidRPr="007E5185">
        <w:rPr>
          <w:rFonts w:asciiTheme="majorBidi" w:eastAsia="Calibri" w:hAnsiTheme="majorBidi" w:cstheme="majorBidi"/>
          <w:sz w:val="22"/>
        </w:rPr>
        <w:t>ow-ability students did not develop their speaking ab</w:t>
      </w:r>
      <w:r w:rsidR="00DE56C9">
        <w:rPr>
          <w:rFonts w:asciiTheme="majorBidi" w:eastAsia="Calibri" w:hAnsiTheme="majorBidi" w:cstheme="majorBidi"/>
          <w:sz w:val="22"/>
        </w:rPr>
        <w:t>ility</w:t>
      </w:r>
      <w:r w:rsidR="009141B3" w:rsidRPr="007E5185">
        <w:rPr>
          <w:rFonts w:asciiTheme="majorBidi" w:eastAsia="Calibri" w:hAnsiTheme="majorBidi" w:cstheme="majorBidi"/>
          <w:sz w:val="22"/>
        </w:rPr>
        <w:t xml:space="preserve"> as much as the other groups, and so employing the P</w:t>
      </w:r>
      <w:r w:rsidR="00FA0DD0">
        <w:rPr>
          <w:rFonts w:asciiTheme="majorBidi" w:eastAsia="Calibri" w:hAnsiTheme="majorBidi" w:cstheme="majorBidi"/>
          <w:sz w:val="22"/>
        </w:rPr>
        <w:t>A</w:t>
      </w:r>
      <w:r w:rsidR="009141B3" w:rsidRPr="007E5185">
        <w:rPr>
          <w:rFonts w:asciiTheme="majorBidi" w:eastAsia="Calibri" w:hAnsiTheme="majorBidi" w:cstheme="majorBidi"/>
          <w:sz w:val="22"/>
        </w:rPr>
        <w:t xml:space="preserve"> in </w:t>
      </w:r>
      <w:r w:rsidR="00FA0DD0">
        <w:rPr>
          <w:rFonts w:asciiTheme="majorBidi" w:eastAsia="Calibri" w:hAnsiTheme="majorBidi" w:cstheme="majorBidi"/>
          <w:sz w:val="22"/>
        </w:rPr>
        <w:t>s</w:t>
      </w:r>
      <w:r w:rsidR="009141B3" w:rsidRPr="007E5185">
        <w:rPr>
          <w:rFonts w:asciiTheme="majorBidi" w:eastAsia="Calibri" w:hAnsiTheme="majorBidi" w:cstheme="majorBidi"/>
          <w:sz w:val="22"/>
        </w:rPr>
        <w:t xml:space="preserve">treamed </w:t>
      </w:r>
      <w:r w:rsidR="00FA0DD0">
        <w:rPr>
          <w:rFonts w:asciiTheme="majorBidi" w:eastAsia="Calibri" w:hAnsiTheme="majorBidi" w:cstheme="majorBidi"/>
          <w:sz w:val="22"/>
        </w:rPr>
        <w:t>l</w:t>
      </w:r>
      <w:r w:rsidR="009141B3" w:rsidRPr="007E5185">
        <w:rPr>
          <w:rFonts w:asciiTheme="majorBidi" w:eastAsia="Calibri" w:hAnsiTheme="majorBidi" w:cstheme="majorBidi"/>
          <w:sz w:val="22"/>
        </w:rPr>
        <w:t xml:space="preserve">anguage </w:t>
      </w:r>
      <w:r w:rsidR="00FA0DD0">
        <w:rPr>
          <w:rFonts w:asciiTheme="majorBidi" w:eastAsia="Calibri" w:hAnsiTheme="majorBidi" w:cstheme="majorBidi"/>
          <w:sz w:val="22"/>
        </w:rPr>
        <w:t>c</w:t>
      </w:r>
      <w:r w:rsidR="009141B3" w:rsidRPr="007E5185">
        <w:rPr>
          <w:rFonts w:asciiTheme="majorBidi" w:eastAsia="Calibri" w:hAnsiTheme="majorBidi" w:cstheme="majorBidi"/>
          <w:sz w:val="22"/>
        </w:rPr>
        <w:t>lasses is not recommended for them. Firstly, low-ability students</w:t>
      </w:r>
      <w:r w:rsidR="00BB3CCD" w:rsidRPr="007E5185">
        <w:rPr>
          <w:rFonts w:asciiTheme="majorBidi" w:eastAsia="Calibri" w:hAnsiTheme="majorBidi" w:cstheme="majorBidi"/>
          <w:sz w:val="22"/>
        </w:rPr>
        <w:t xml:space="preserve"> lack</w:t>
      </w:r>
      <w:r w:rsidR="009141B3" w:rsidRPr="007E5185">
        <w:rPr>
          <w:rFonts w:asciiTheme="majorBidi" w:eastAsia="Calibri" w:hAnsiTheme="majorBidi" w:cstheme="majorBidi"/>
          <w:sz w:val="22"/>
        </w:rPr>
        <w:t>ed</w:t>
      </w:r>
      <w:r w:rsidR="00BB3CCD" w:rsidRPr="007E5185">
        <w:rPr>
          <w:rFonts w:asciiTheme="majorBidi" w:eastAsia="Calibri" w:hAnsiTheme="majorBidi" w:cstheme="majorBidi"/>
          <w:sz w:val="22"/>
        </w:rPr>
        <w:t xml:space="preserve"> </w:t>
      </w:r>
      <w:r w:rsidR="009141B3" w:rsidRPr="007E5185">
        <w:rPr>
          <w:rFonts w:asciiTheme="majorBidi" w:eastAsia="Calibri" w:hAnsiTheme="majorBidi" w:cstheme="majorBidi"/>
          <w:sz w:val="22"/>
        </w:rPr>
        <w:t>the</w:t>
      </w:r>
      <w:r w:rsidR="00BB3CCD" w:rsidRPr="007E5185">
        <w:rPr>
          <w:rFonts w:asciiTheme="majorBidi" w:eastAsia="Calibri" w:hAnsiTheme="majorBidi" w:cstheme="majorBidi"/>
          <w:sz w:val="22"/>
        </w:rPr>
        <w:t xml:space="preserve"> sufficient </w:t>
      </w:r>
      <w:r w:rsidR="009141B3" w:rsidRPr="007E5185">
        <w:rPr>
          <w:rFonts w:asciiTheme="majorBidi" w:eastAsia="Calibri" w:hAnsiTheme="majorBidi" w:cstheme="majorBidi"/>
          <w:sz w:val="22"/>
        </w:rPr>
        <w:t xml:space="preserve">knowledge and </w:t>
      </w:r>
      <w:r w:rsidR="00BB3CCD" w:rsidRPr="007E5185">
        <w:rPr>
          <w:rFonts w:asciiTheme="majorBidi" w:eastAsia="Calibri" w:hAnsiTheme="majorBidi" w:cstheme="majorBidi"/>
          <w:sz w:val="22"/>
        </w:rPr>
        <w:t>experience in using the language</w:t>
      </w:r>
      <w:r w:rsidR="00EA51D0" w:rsidRPr="007E5185">
        <w:rPr>
          <w:rFonts w:asciiTheme="majorBidi" w:eastAsia="Calibri" w:hAnsiTheme="majorBidi" w:cstheme="majorBidi"/>
          <w:sz w:val="22"/>
        </w:rPr>
        <w:t>,</w:t>
      </w:r>
      <w:r w:rsidR="00BB3CCD" w:rsidRPr="007E5185">
        <w:rPr>
          <w:rFonts w:asciiTheme="majorBidi" w:eastAsia="Calibri" w:hAnsiTheme="majorBidi" w:cstheme="majorBidi"/>
          <w:sz w:val="22"/>
        </w:rPr>
        <w:t xml:space="preserve"> and </w:t>
      </w:r>
      <w:r w:rsidR="009141B3" w:rsidRPr="007E5185">
        <w:rPr>
          <w:rFonts w:asciiTheme="majorBidi" w:eastAsia="Calibri" w:hAnsiTheme="majorBidi" w:cstheme="majorBidi"/>
          <w:sz w:val="22"/>
        </w:rPr>
        <w:t>were not competent enough</w:t>
      </w:r>
      <w:r w:rsidR="00BB3CCD" w:rsidRPr="007E5185">
        <w:rPr>
          <w:rFonts w:asciiTheme="majorBidi" w:eastAsia="Calibri" w:hAnsiTheme="majorBidi" w:cstheme="majorBidi"/>
          <w:sz w:val="22"/>
        </w:rPr>
        <w:t xml:space="preserve"> to take advantage</w:t>
      </w:r>
      <w:r w:rsidR="00E82475" w:rsidRPr="007E5185">
        <w:rPr>
          <w:rFonts w:asciiTheme="majorBidi" w:eastAsia="Calibri" w:hAnsiTheme="majorBidi" w:cstheme="majorBidi"/>
          <w:sz w:val="22"/>
        </w:rPr>
        <w:t xml:space="preserve"> of </w:t>
      </w:r>
      <w:r w:rsidR="009141B3" w:rsidRPr="007E5185">
        <w:rPr>
          <w:rFonts w:asciiTheme="majorBidi" w:eastAsia="Calibri" w:hAnsiTheme="majorBidi" w:cstheme="majorBidi"/>
          <w:sz w:val="22"/>
        </w:rPr>
        <w:t xml:space="preserve">the </w:t>
      </w:r>
      <w:r w:rsidR="00FA0DD0">
        <w:rPr>
          <w:rFonts w:asciiTheme="majorBidi" w:eastAsia="Calibri" w:hAnsiTheme="majorBidi" w:cstheme="majorBidi"/>
          <w:sz w:val="22"/>
        </w:rPr>
        <w:t>P</w:t>
      </w:r>
      <w:r w:rsidR="00E82475" w:rsidRPr="007E5185">
        <w:rPr>
          <w:rFonts w:asciiTheme="majorBidi" w:eastAsia="Calibri" w:hAnsiTheme="majorBidi" w:cstheme="majorBidi"/>
          <w:sz w:val="22"/>
        </w:rPr>
        <w:t xml:space="preserve">A </w:t>
      </w:r>
      <w:r w:rsidR="00BB3CCD" w:rsidRPr="007E5185">
        <w:rPr>
          <w:rFonts w:asciiTheme="majorBidi" w:eastAsia="Calibri" w:hAnsiTheme="majorBidi" w:cstheme="majorBidi"/>
          <w:sz w:val="22"/>
        </w:rPr>
        <w:t xml:space="preserve">in learning. </w:t>
      </w:r>
      <w:r w:rsidR="009141B3" w:rsidRPr="007E5185">
        <w:rPr>
          <w:rFonts w:asciiTheme="majorBidi" w:eastAsia="Calibri" w:hAnsiTheme="majorBidi" w:cstheme="majorBidi"/>
          <w:sz w:val="22"/>
          <w:lang w:bidi="fa-IR"/>
        </w:rPr>
        <w:t>Secondly,</w:t>
      </w:r>
      <w:r w:rsidR="009141B3" w:rsidRPr="007E5185">
        <w:rPr>
          <w:rFonts w:asciiTheme="majorBidi" w:eastAsia="Calibri" w:hAnsiTheme="majorBidi" w:cstheme="majorBidi"/>
          <w:sz w:val="22"/>
        </w:rPr>
        <w:t xml:space="preserve"> </w:t>
      </w:r>
      <w:r w:rsidR="009141B3" w:rsidRPr="007E5185">
        <w:rPr>
          <w:rFonts w:asciiTheme="majorBidi" w:eastAsia="Calibri" w:hAnsiTheme="majorBidi" w:cstheme="majorBidi"/>
          <w:sz w:val="22"/>
          <w:lang w:val="en-GB" w:bidi="fa-IR"/>
        </w:rPr>
        <w:t>giving the low-ability students the chance to do optional activities or developing the instructional material which was of their interest and at their level of language-ability, had the disadvantage of letting them choose the easier way or less demanding material and tasks, in spite of their abilities to engage in more challenging ways of learning.</w:t>
      </w:r>
    </w:p>
    <w:p w14:paraId="647F5918" w14:textId="77777777" w:rsidR="00741339" w:rsidRPr="007E5185" w:rsidRDefault="00A039C6" w:rsidP="00146C86">
      <w:pPr>
        <w:spacing w:after="120" w:line="240" w:lineRule="auto"/>
        <w:ind w:left="115" w:right="72" w:firstLine="562"/>
        <w:jc w:val="both"/>
        <w:rPr>
          <w:rFonts w:asciiTheme="majorBidi" w:hAnsiTheme="majorBidi" w:cstheme="majorBidi"/>
          <w:sz w:val="22"/>
        </w:rPr>
      </w:pPr>
      <w:r w:rsidRPr="007E5185">
        <w:rPr>
          <w:rFonts w:asciiTheme="majorBidi" w:eastAsia="Calibri" w:hAnsiTheme="majorBidi" w:cstheme="majorBidi"/>
          <w:sz w:val="22"/>
        </w:rPr>
        <w:t>Mixed-ability</w:t>
      </w:r>
      <w:r w:rsidR="00AF7671" w:rsidRPr="007E5185">
        <w:rPr>
          <w:rFonts w:asciiTheme="majorBidi" w:eastAsia="Calibri" w:hAnsiTheme="majorBidi" w:cstheme="majorBidi"/>
          <w:sz w:val="22"/>
        </w:rPr>
        <w:t xml:space="preserve"> teaching benefited the low-ability students more</w:t>
      </w:r>
      <w:r>
        <w:rPr>
          <w:rFonts w:asciiTheme="majorBidi" w:eastAsia="Calibri" w:hAnsiTheme="majorBidi" w:cstheme="majorBidi"/>
          <w:sz w:val="22"/>
        </w:rPr>
        <w:t xml:space="preserve"> which was supported by Poole (2008)</w:t>
      </w:r>
      <w:r w:rsidR="00AF7671" w:rsidRPr="007E5185">
        <w:rPr>
          <w:rFonts w:asciiTheme="majorBidi" w:eastAsia="Calibri" w:hAnsiTheme="majorBidi" w:cstheme="majorBidi"/>
          <w:sz w:val="22"/>
        </w:rPr>
        <w:t xml:space="preserve">. It helped them feel more self-confident and develop their self-esteem. </w:t>
      </w:r>
      <w:r w:rsidR="00AF7671" w:rsidRPr="007E5185">
        <w:rPr>
          <w:rFonts w:asciiTheme="majorBidi" w:eastAsia="Calibri" w:hAnsiTheme="majorBidi" w:cstheme="majorBidi"/>
          <w:sz w:val="22"/>
          <w:lang w:bidi="fa-IR"/>
        </w:rPr>
        <w:t>W</w:t>
      </w:r>
      <w:r w:rsidR="00BB3CCD" w:rsidRPr="007E5185">
        <w:rPr>
          <w:rFonts w:asciiTheme="majorBidi" w:eastAsia="Calibri" w:hAnsiTheme="majorBidi" w:cstheme="majorBidi"/>
          <w:sz w:val="22"/>
          <w:lang w:bidi="fa-IR"/>
        </w:rPr>
        <w:t xml:space="preserve">hen weaker students encountered difficulties or had problems in doing </w:t>
      </w:r>
      <w:r w:rsidR="00AF7671" w:rsidRPr="007E5185">
        <w:rPr>
          <w:rFonts w:asciiTheme="majorBidi" w:eastAsia="Calibri" w:hAnsiTheme="majorBidi" w:cstheme="majorBidi"/>
          <w:sz w:val="22"/>
          <w:lang w:bidi="fa-IR"/>
        </w:rPr>
        <w:t xml:space="preserve">the </w:t>
      </w:r>
      <w:r w:rsidR="00BB3CCD" w:rsidRPr="007E5185">
        <w:rPr>
          <w:rFonts w:asciiTheme="majorBidi" w:eastAsia="Calibri" w:hAnsiTheme="majorBidi" w:cstheme="majorBidi"/>
          <w:sz w:val="22"/>
          <w:lang w:bidi="fa-IR"/>
        </w:rPr>
        <w:t xml:space="preserve">tasks, they could ask their </w:t>
      </w:r>
      <w:r w:rsidR="00EA51D0" w:rsidRPr="007E5185">
        <w:rPr>
          <w:rFonts w:asciiTheme="majorBidi" w:eastAsia="Calibri" w:hAnsiTheme="majorBidi" w:cstheme="majorBidi"/>
          <w:sz w:val="22"/>
          <w:lang w:bidi="fa-IR"/>
        </w:rPr>
        <w:t>more proficient</w:t>
      </w:r>
      <w:r w:rsidR="00BB3CCD" w:rsidRPr="007E5185">
        <w:rPr>
          <w:rFonts w:asciiTheme="majorBidi" w:eastAsia="Calibri" w:hAnsiTheme="majorBidi" w:cstheme="majorBidi"/>
          <w:sz w:val="22"/>
          <w:lang w:bidi="fa-IR"/>
        </w:rPr>
        <w:t xml:space="preserve"> partners for assistance.</w:t>
      </w:r>
      <w:r>
        <w:rPr>
          <w:rFonts w:asciiTheme="majorBidi" w:eastAsia="Times New Roman" w:hAnsiTheme="majorBidi" w:cstheme="majorBidi"/>
          <w:sz w:val="22"/>
        </w:rPr>
        <w:t xml:space="preserve"> Such a claim is also underpinn</w:t>
      </w:r>
      <w:r w:rsidR="00600550" w:rsidRPr="007E5185">
        <w:rPr>
          <w:rFonts w:asciiTheme="majorBidi" w:eastAsia="Times New Roman" w:hAnsiTheme="majorBidi" w:cstheme="majorBidi"/>
          <w:sz w:val="22"/>
        </w:rPr>
        <w:t>ed by Mynard and Almarzouqi (</w:t>
      </w:r>
      <w:hyperlink r:id="rId11" w:history="1">
        <w:r w:rsidR="00600550" w:rsidRPr="007E5185">
          <w:rPr>
            <w:rFonts w:asciiTheme="majorBidi" w:eastAsia="Times New Roman" w:hAnsiTheme="majorBidi" w:cstheme="majorBidi"/>
            <w:sz w:val="22"/>
          </w:rPr>
          <w:t>2006</w:t>
        </w:r>
      </w:hyperlink>
      <w:r w:rsidR="00600550" w:rsidRPr="007E5185">
        <w:rPr>
          <w:rFonts w:asciiTheme="majorBidi" w:eastAsia="Times New Roman" w:hAnsiTheme="majorBidi" w:cstheme="majorBidi"/>
          <w:sz w:val="22"/>
        </w:rPr>
        <w:t>)</w:t>
      </w:r>
      <w:r w:rsidR="00600550" w:rsidRPr="007E5185">
        <w:rPr>
          <w:rFonts w:asciiTheme="majorBidi" w:hAnsiTheme="majorBidi" w:cstheme="majorBidi"/>
          <w:sz w:val="22"/>
        </w:rPr>
        <w:t xml:space="preserve">. </w:t>
      </w:r>
      <w:r w:rsidR="00600550" w:rsidRPr="007E5185">
        <w:rPr>
          <w:rFonts w:asciiTheme="majorBidi" w:eastAsia="Calibri" w:hAnsiTheme="majorBidi" w:cstheme="majorBidi"/>
          <w:sz w:val="22"/>
          <w:lang w:bidi="fa-IR"/>
        </w:rPr>
        <w:t>It</w:t>
      </w:r>
      <w:r w:rsidR="00BB3CCD" w:rsidRPr="007E5185">
        <w:rPr>
          <w:rFonts w:asciiTheme="majorBidi" w:eastAsia="Calibri" w:hAnsiTheme="majorBidi" w:cstheme="majorBidi"/>
          <w:sz w:val="22"/>
          <w:lang w:bidi="fa-IR"/>
        </w:rPr>
        <w:t xml:space="preserve"> was motivating and inspired </w:t>
      </w:r>
      <w:r w:rsidR="009141B3" w:rsidRPr="007E5185">
        <w:rPr>
          <w:rFonts w:asciiTheme="majorBidi" w:eastAsia="Calibri" w:hAnsiTheme="majorBidi" w:cstheme="majorBidi"/>
          <w:sz w:val="22"/>
          <w:lang w:bidi="fa-IR"/>
        </w:rPr>
        <w:t xml:space="preserve">the </w:t>
      </w:r>
      <w:r w:rsidR="00BB3CCD" w:rsidRPr="007E5185">
        <w:rPr>
          <w:rFonts w:asciiTheme="majorBidi" w:eastAsia="Calibri" w:hAnsiTheme="majorBidi" w:cstheme="majorBidi"/>
          <w:sz w:val="22"/>
          <w:lang w:bidi="fa-IR"/>
        </w:rPr>
        <w:t>weaker students to do their best in order to reach the same competency level as their stronger partners.</w:t>
      </w:r>
      <w:r w:rsidR="00755EFF" w:rsidRPr="007E5185">
        <w:rPr>
          <w:rFonts w:asciiTheme="majorBidi" w:hAnsiTheme="majorBidi" w:cstheme="majorBidi"/>
          <w:sz w:val="22"/>
        </w:rPr>
        <w:t xml:space="preserve"> </w:t>
      </w:r>
      <w:r>
        <w:rPr>
          <w:rFonts w:asciiTheme="majorBidi" w:hAnsiTheme="majorBidi" w:cstheme="majorBidi"/>
          <w:sz w:val="22"/>
        </w:rPr>
        <w:t xml:space="preserve">There were more quality discussions and more signs of self-efficiency in mixed language-ability groups both in the experimental and </w:t>
      </w:r>
      <w:r w:rsidR="003E26E3">
        <w:rPr>
          <w:rFonts w:asciiTheme="majorBidi" w:hAnsiTheme="majorBidi" w:cstheme="majorBidi"/>
          <w:sz w:val="22"/>
        </w:rPr>
        <w:t xml:space="preserve">the </w:t>
      </w:r>
      <w:r>
        <w:rPr>
          <w:rFonts w:asciiTheme="majorBidi" w:hAnsiTheme="majorBidi" w:cstheme="majorBidi"/>
          <w:sz w:val="22"/>
        </w:rPr>
        <w:t>control groups.</w:t>
      </w:r>
    </w:p>
    <w:p w14:paraId="0489CC35" w14:textId="77777777" w:rsidR="002A4940" w:rsidRPr="007E5185" w:rsidRDefault="002A4940" w:rsidP="00146C86">
      <w:pPr>
        <w:spacing w:after="120" w:line="240" w:lineRule="auto"/>
        <w:jc w:val="both"/>
        <w:rPr>
          <w:rFonts w:asciiTheme="majorBidi" w:hAnsiTheme="majorBidi" w:cstheme="majorBidi"/>
          <w:b/>
          <w:bCs/>
          <w:sz w:val="22"/>
        </w:rPr>
      </w:pPr>
      <w:r w:rsidRPr="007E5185">
        <w:rPr>
          <w:rFonts w:asciiTheme="majorBidi" w:hAnsiTheme="majorBidi" w:cstheme="majorBidi"/>
          <w:b/>
          <w:bCs/>
          <w:sz w:val="22"/>
        </w:rPr>
        <w:t>6. Conclusion</w:t>
      </w:r>
    </w:p>
    <w:p w14:paraId="356BC29B" w14:textId="77777777" w:rsidR="0001646F" w:rsidRPr="0001646F" w:rsidRDefault="003271E2" w:rsidP="00E4270D">
      <w:pPr>
        <w:spacing w:after="120" w:line="240" w:lineRule="auto"/>
        <w:ind w:left="115" w:right="72"/>
        <w:jc w:val="both"/>
        <w:rPr>
          <w:rFonts w:asciiTheme="majorBidi" w:eastAsia="Calibri" w:hAnsiTheme="majorBidi" w:cstheme="majorBidi"/>
          <w:sz w:val="22"/>
        </w:rPr>
      </w:pPr>
      <w:r w:rsidRPr="007E5185">
        <w:rPr>
          <w:rFonts w:asciiTheme="majorBidi" w:hAnsiTheme="majorBidi" w:cstheme="majorBidi"/>
          <w:sz w:val="22"/>
        </w:rPr>
        <w:t xml:space="preserve">Heterogeneity or having mixed-ability </w:t>
      </w:r>
      <w:r w:rsidR="00775B3B" w:rsidRPr="007E5185">
        <w:rPr>
          <w:rFonts w:asciiTheme="majorBidi" w:hAnsiTheme="majorBidi" w:cstheme="majorBidi"/>
          <w:sz w:val="22"/>
        </w:rPr>
        <w:t>EFL classe</w:t>
      </w:r>
      <w:r w:rsidRPr="007E5185">
        <w:rPr>
          <w:rFonts w:asciiTheme="majorBidi" w:hAnsiTheme="majorBidi" w:cstheme="majorBidi"/>
          <w:sz w:val="22"/>
        </w:rPr>
        <w:t xml:space="preserve">s seems to be an inevitable condition. On the other hand, </w:t>
      </w:r>
      <w:r w:rsidRPr="007E5185">
        <w:rPr>
          <w:rFonts w:asciiTheme="majorBidi" w:eastAsia="Calibri" w:hAnsiTheme="majorBidi" w:cstheme="majorBidi"/>
          <w:sz w:val="22"/>
          <w:lang w:val="en-GB" w:bidi="fa-IR"/>
        </w:rPr>
        <w:t xml:space="preserve">considering </w:t>
      </w:r>
      <w:r w:rsidRPr="007E5185">
        <w:rPr>
          <w:rFonts w:asciiTheme="majorBidi" w:hAnsiTheme="majorBidi" w:cstheme="majorBidi"/>
          <w:sz w:val="22"/>
        </w:rPr>
        <w:t>the incessant</w:t>
      </w:r>
      <w:r w:rsidRPr="007E5185">
        <w:rPr>
          <w:rFonts w:asciiTheme="majorBidi" w:eastAsia="Calibri" w:hAnsiTheme="majorBidi" w:cstheme="majorBidi"/>
          <w:sz w:val="22"/>
          <w:lang w:val="en-GB" w:bidi="fa-IR"/>
        </w:rPr>
        <w:t xml:space="preserve"> change in the learners' needs and abilities, teachers and academic staff </w:t>
      </w:r>
      <w:r w:rsidRPr="007E5185">
        <w:rPr>
          <w:rFonts w:asciiTheme="majorBidi" w:hAnsiTheme="majorBidi" w:cstheme="majorBidi"/>
          <w:sz w:val="22"/>
        </w:rPr>
        <w:t>are expected to have an optimistic approach</w:t>
      </w:r>
      <w:r w:rsidRPr="007E5185">
        <w:rPr>
          <w:rFonts w:asciiTheme="majorBidi" w:eastAsia="Calibri" w:hAnsiTheme="majorBidi" w:cstheme="majorBidi"/>
          <w:sz w:val="22"/>
          <w:lang w:val="en-GB" w:bidi="fa-IR"/>
        </w:rPr>
        <w:t xml:space="preserve"> and take into account new techniques, methods, and directions to employ each year. Hence, </w:t>
      </w:r>
      <w:r w:rsidRPr="007E5185">
        <w:rPr>
          <w:rFonts w:asciiTheme="majorBidi" w:eastAsia="Calibri" w:hAnsiTheme="majorBidi" w:cstheme="majorBidi"/>
          <w:sz w:val="22"/>
        </w:rPr>
        <w:t>teachers should motivate</w:t>
      </w:r>
      <w:r w:rsidRPr="007E5185">
        <w:rPr>
          <w:rFonts w:asciiTheme="majorBidi" w:hAnsiTheme="majorBidi" w:cstheme="majorBidi"/>
          <w:sz w:val="22"/>
        </w:rPr>
        <w:t xml:space="preserve"> student</w:t>
      </w:r>
      <w:r w:rsidR="00E25FF7">
        <w:rPr>
          <w:rFonts w:asciiTheme="majorBidi" w:hAnsiTheme="majorBidi" w:cstheme="majorBidi"/>
          <w:sz w:val="22"/>
        </w:rPr>
        <w:t>s'</w:t>
      </w:r>
      <w:r w:rsidRPr="007E5185">
        <w:rPr>
          <w:rFonts w:asciiTheme="majorBidi" w:hAnsiTheme="majorBidi" w:cstheme="majorBidi"/>
          <w:sz w:val="22"/>
        </w:rPr>
        <w:t xml:space="preserve"> engagement and their critical thinking by </w:t>
      </w:r>
      <w:r w:rsidRPr="007E5185">
        <w:rPr>
          <w:rFonts w:asciiTheme="majorBidi" w:eastAsia="Calibri" w:hAnsiTheme="majorBidi" w:cstheme="majorBidi"/>
          <w:sz w:val="22"/>
        </w:rPr>
        <w:t>offering opportunities to think differently and act in new ways so that they will be able to concentrate and grasp the teaching material more easily.</w:t>
      </w:r>
    </w:p>
    <w:p w14:paraId="02157460" w14:textId="77777777" w:rsidR="0001646F" w:rsidRDefault="0001646F" w:rsidP="00146C86">
      <w:pPr>
        <w:spacing w:after="120" w:line="240" w:lineRule="auto"/>
        <w:ind w:left="115" w:right="72" w:firstLine="562"/>
        <w:jc w:val="both"/>
        <w:rPr>
          <w:rFonts w:asciiTheme="majorBidi" w:hAnsiTheme="majorBidi" w:cstheme="majorBidi"/>
          <w:sz w:val="22"/>
        </w:rPr>
      </w:pPr>
      <w:r w:rsidRPr="0001646F">
        <w:rPr>
          <w:rFonts w:asciiTheme="majorBidi" w:hAnsiTheme="majorBidi" w:cstheme="majorBidi"/>
          <w:sz w:val="22"/>
        </w:rPr>
        <w:t xml:space="preserve">The partnership entities can impact on students' learning and their development in terms of how well students will learn, how far they will go, and what they will be able to do, provided that they have already gained a certain level of proficiency in the language and developed the ability to employ different learning strategies appropriately. </w:t>
      </w:r>
      <w:r>
        <w:rPr>
          <w:rFonts w:asciiTheme="majorBidi" w:hAnsiTheme="majorBidi" w:cstheme="majorBidi"/>
          <w:sz w:val="22"/>
        </w:rPr>
        <w:t>It is necessary to identify areas in which students and teachers are partnering to raise up the effectiveness of the partnership and the chance of improvement. Many factors influence the selection of the appropriate engagement strategies and the success of the partnership programs in education such as teachers’ and students’ attitudes, the students’ proficiency levels, their language and cultural background, the nature of the classes, the objectives of the course,</w:t>
      </w:r>
      <w:r w:rsidR="007864C6">
        <w:rPr>
          <w:rFonts w:asciiTheme="majorBidi" w:hAnsiTheme="majorBidi" w:cstheme="majorBidi"/>
          <w:sz w:val="22"/>
        </w:rPr>
        <w:t xml:space="preserve"> the students’ ages, and the time limit.</w:t>
      </w:r>
      <w:r>
        <w:rPr>
          <w:rFonts w:asciiTheme="majorBidi" w:hAnsiTheme="majorBidi" w:cstheme="majorBidi"/>
          <w:sz w:val="22"/>
        </w:rPr>
        <w:t xml:space="preserve"> </w:t>
      </w:r>
    </w:p>
    <w:p w14:paraId="0C1E45F8" w14:textId="77777777" w:rsidR="008110FA" w:rsidRPr="007E5185" w:rsidRDefault="00D2193C" w:rsidP="00146C86">
      <w:pPr>
        <w:spacing w:after="120" w:line="240" w:lineRule="auto"/>
        <w:ind w:left="115" w:right="72" w:firstLine="562"/>
        <w:jc w:val="both"/>
        <w:rPr>
          <w:rFonts w:asciiTheme="majorBidi" w:hAnsiTheme="majorBidi" w:cstheme="majorBidi"/>
          <w:sz w:val="22"/>
        </w:rPr>
      </w:pPr>
      <w:r w:rsidRPr="007E5185">
        <w:rPr>
          <w:rFonts w:asciiTheme="majorBidi" w:hAnsiTheme="majorBidi" w:cstheme="majorBidi"/>
          <w:sz w:val="22"/>
        </w:rPr>
        <w:t xml:space="preserve">It is difficult to confidently claim that any change in </w:t>
      </w:r>
      <w:r w:rsidR="00E62AA4" w:rsidRPr="007E5185">
        <w:rPr>
          <w:rFonts w:asciiTheme="majorBidi" w:hAnsiTheme="majorBidi" w:cstheme="majorBidi"/>
          <w:sz w:val="22"/>
        </w:rPr>
        <w:t xml:space="preserve">the </w:t>
      </w:r>
      <w:r w:rsidRPr="007E5185">
        <w:rPr>
          <w:rFonts w:asciiTheme="majorBidi" w:hAnsiTheme="majorBidi" w:cstheme="majorBidi"/>
          <w:sz w:val="22"/>
        </w:rPr>
        <w:t>students' achievements can be attributed to their ability-grouping,</w:t>
      </w:r>
      <w:r w:rsidR="000C2FF9" w:rsidRPr="007E5185">
        <w:rPr>
          <w:rFonts w:asciiTheme="majorBidi" w:hAnsiTheme="majorBidi" w:cstheme="majorBidi"/>
          <w:sz w:val="22"/>
        </w:rPr>
        <w:t xml:space="preserve"> </w:t>
      </w:r>
      <w:r w:rsidRPr="007E5185">
        <w:rPr>
          <w:rFonts w:asciiTheme="majorBidi" w:hAnsiTheme="majorBidi" w:cstheme="majorBidi"/>
          <w:sz w:val="22"/>
        </w:rPr>
        <w:t>employing partnership as a new teaching approach</w:t>
      </w:r>
      <w:r w:rsidR="00E62AA4" w:rsidRPr="007E5185">
        <w:rPr>
          <w:rFonts w:asciiTheme="majorBidi" w:hAnsiTheme="majorBidi" w:cstheme="majorBidi"/>
          <w:sz w:val="22"/>
        </w:rPr>
        <w:t>,</w:t>
      </w:r>
      <w:r w:rsidRPr="007E5185">
        <w:rPr>
          <w:rFonts w:asciiTheme="majorBidi" w:hAnsiTheme="majorBidi" w:cstheme="majorBidi"/>
          <w:sz w:val="22"/>
        </w:rPr>
        <w:t xml:space="preserve"> or the combination of the two. Students' perception of their own participation, their meaningful and authentic engagement in whatever is going on in the class, introducing more appropriate </w:t>
      </w:r>
      <w:r w:rsidR="008110FA" w:rsidRPr="007E5185">
        <w:rPr>
          <w:rFonts w:asciiTheme="majorBidi" w:hAnsiTheme="majorBidi" w:cstheme="majorBidi"/>
          <w:sz w:val="22"/>
        </w:rPr>
        <w:t>instructional</w:t>
      </w:r>
      <w:r w:rsidRPr="007E5185">
        <w:rPr>
          <w:rFonts w:asciiTheme="majorBidi" w:hAnsiTheme="majorBidi" w:cstheme="majorBidi"/>
          <w:sz w:val="22"/>
        </w:rPr>
        <w:t xml:space="preserve"> material concerning their content and difficulty level</w:t>
      </w:r>
      <w:r w:rsidR="008110FA" w:rsidRPr="007E5185">
        <w:rPr>
          <w:rFonts w:asciiTheme="majorBidi" w:hAnsiTheme="majorBidi" w:cstheme="majorBidi"/>
          <w:sz w:val="22"/>
        </w:rPr>
        <w:t>, and good rapport between the teacher and the students</w:t>
      </w:r>
      <w:r w:rsidRPr="007E5185">
        <w:rPr>
          <w:rFonts w:asciiTheme="majorBidi" w:hAnsiTheme="majorBidi" w:cstheme="majorBidi"/>
          <w:sz w:val="22"/>
        </w:rPr>
        <w:t xml:space="preserve"> are among the factors</w:t>
      </w:r>
      <w:r w:rsidR="007864C6">
        <w:rPr>
          <w:rFonts w:asciiTheme="majorBidi" w:hAnsiTheme="majorBidi" w:cstheme="majorBidi"/>
          <w:sz w:val="22"/>
        </w:rPr>
        <w:t xml:space="preserve"> that influence the effectiveness of such programs</w:t>
      </w:r>
      <w:r w:rsidRPr="007E5185">
        <w:rPr>
          <w:rFonts w:asciiTheme="majorBidi" w:hAnsiTheme="majorBidi" w:cstheme="majorBidi"/>
          <w:sz w:val="22"/>
        </w:rPr>
        <w:t>.</w:t>
      </w:r>
      <w:r w:rsidR="009D17BD" w:rsidRPr="007E5185">
        <w:rPr>
          <w:rFonts w:asciiTheme="majorBidi" w:eastAsia="Calibri" w:hAnsiTheme="majorBidi" w:cstheme="majorBidi"/>
          <w:sz w:val="22"/>
          <w:lang w:val="en-GB" w:bidi="fa-IR"/>
        </w:rPr>
        <w:t xml:space="preserve"> </w:t>
      </w:r>
      <w:r w:rsidR="007864C6">
        <w:rPr>
          <w:rFonts w:asciiTheme="majorBidi" w:eastAsia="Calibri" w:hAnsiTheme="majorBidi" w:cstheme="majorBidi"/>
          <w:sz w:val="22"/>
          <w:lang w:val="en-GB" w:bidi="fa-IR"/>
        </w:rPr>
        <w:t xml:space="preserve">Students and the staff should be educated about the values and benefits of the PA to improve the quality of the educational program. </w:t>
      </w:r>
      <w:r w:rsidR="008B3A0F" w:rsidRPr="007E5185">
        <w:rPr>
          <w:rFonts w:asciiTheme="majorBidi" w:eastAsia="Calibri" w:hAnsiTheme="majorBidi" w:cstheme="majorBidi"/>
          <w:sz w:val="22"/>
          <w:lang w:val="en-GB" w:bidi="fa-IR"/>
        </w:rPr>
        <w:t>Moreover</w:t>
      </w:r>
      <w:r w:rsidR="008110FA" w:rsidRPr="007E5185">
        <w:rPr>
          <w:rFonts w:asciiTheme="majorBidi" w:eastAsia="Calibri" w:hAnsiTheme="majorBidi" w:cstheme="majorBidi"/>
          <w:sz w:val="22"/>
          <w:lang w:val="en-GB" w:bidi="fa-IR"/>
        </w:rPr>
        <w:t xml:space="preserve">, </w:t>
      </w:r>
      <w:r w:rsidR="008110FA" w:rsidRPr="007E5185">
        <w:rPr>
          <w:rFonts w:asciiTheme="majorBidi" w:hAnsiTheme="majorBidi" w:cstheme="majorBidi"/>
          <w:sz w:val="22"/>
        </w:rPr>
        <w:t xml:space="preserve">the teacher and </w:t>
      </w:r>
      <w:r w:rsidR="00D52DD7">
        <w:rPr>
          <w:rFonts w:asciiTheme="majorBidi" w:hAnsiTheme="majorBidi" w:cstheme="majorBidi"/>
          <w:sz w:val="22"/>
        </w:rPr>
        <w:t xml:space="preserve">the </w:t>
      </w:r>
      <w:r w:rsidR="008110FA" w:rsidRPr="007E5185">
        <w:rPr>
          <w:rFonts w:asciiTheme="majorBidi" w:hAnsiTheme="majorBidi" w:cstheme="majorBidi"/>
          <w:sz w:val="22"/>
        </w:rPr>
        <w:t xml:space="preserve">university staff </w:t>
      </w:r>
      <w:r w:rsidR="007864C6">
        <w:rPr>
          <w:rFonts w:asciiTheme="majorBidi" w:hAnsiTheme="majorBidi" w:cstheme="majorBidi"/>
          <w:sz w:val="22"/>
        </w:rPr>
        <w:t xml:space="preserve">also </w:t>
      </w:r>
      <w:r w:rsidR="008110FA" w:rsidRPr="007E5185">
        <w:rPr>
          <w:rFonts w:asciiTheme="majorBidi" w:hAnsiTheme="majorBidi" w:cstheme="majorBidi"/>
          <w:sz w:val="22"/>
        </w:rPr>
        <w:t xml:space="preserve">need to establish a genuine positive two-way relationship. </w:t>
      </w:r>
    </w:p>
    <w:p w14:paraId="006EEC54" w14:textId="0F0313CE" w:rsidR="00A860E9" w:rsidRPr="00A860E9" w:rsidRDefault="007864C6" w:rsidP="00146C86">
      <w:pPr>
        <w:spacing w:after="120" w:line="240" w:lineRule="auto"/>
        <w:ind w:left="115" w:right="72" w:firstLine="562"/>
        <w:jc w:val="both"/>
        <w:rPr>
          <w:rFonts w:asciiTheme="majorBidi" w:eastAsia="Calibri" w:hAnsiTheme="majorBidi" w:cstheme="majorBidi"/>
          <w:color w:val="FF0000"/>
          <w:sz w:val="22"/>
        </w:rPr>
      </w:pPr>
      <w:r w:rsidRPr="007E5185">
        <w:rPr>
          <w:rFonts w:asciiTheme="majorBidi" w:hAnsiTheme="majorBidi" w:cstheme="majorBidi"/>
          <w:sz w:val="22"/>
        </w:rPr>
        <w:lastRenderedPageBreak/>
        <w:t>The</w:t>
      </w:r>
      <w:r w:rsidR="005C5C23" w:rsidRPr="007E5185">
        <w:rPr>
          <w:rFonts w:asciiTheme="majorBidi" w:hAnsiTheme="majorBidi" w:cstheme="majorBidi"/>
          <w:sz w:val="22"/>
        </w:rPr>
        <w:t xml:space="preserve"> present study calls for the teachers' attention that it is important to be informed about the new approaches and teaching strategies which best work in their </w:t>
      </w:r>
      <w:r w:rsidR="00246B56">
        <w:rPr>
          <w:rFonts w:asciiTheme="majorBidi" w:hAnsiTheme="majorBidi" w:cstheme="majorBidi"/>
          <w:sz w:val="22"/>
        </w:rPr>
        <w:t xml:space="preserve">mixed language-ability </w:t>
      </w:r>
      <w:r w:rsidR="005C5C23" w:rsidRPr="007E5185">
        <w:rPr>
          <w:rFonts w:asciiTheme="majorBidi" w:hAnsiTheme="majorBidi" w:cstheme="majorBidi"/>
          <w:sz w:val="22"/>
        </w:rPr>
        <w:t xml:space="preserve">classes. This may highlight the need for the regular teacher training programs in </w:t>
      </w:r>
      <w:r w:rsidR="00D52DD7">
        <w:rPr>
          <w:rFonts w:asciiTheme="majorBidi" w:hAnsiTheme="majorBidi" w:cstheme="majorBidi"/>
          <w:sz w:val="22"/>
        </w:rPr>
        <w:t>the H</w:t>
      </w:r>
      <w:r w:rsidR="005C5C23" w:rsidRPr="007E5185">
        <w:rPr>
          <w:rFonts w:asciiTheme="majorBidi" w:hAnsiTheme="majorBidi" w:cstheme="majorBidi"/>
          <w:sz w:val="22"/>
        </w:rPr>
        <w:t xml:space="preserve">igher </w:t>
      </w:r>
      <w:r w:rsidR="00D52DD7">
        <w:rPr>
          <w:rFonts w:asciiTheme="majorBidi" w:hAnsiTheme="majorBidi" w:cstheme="majorBidi"/>
          <w:sz w:val="22"/>
        </w:rPr>
        <w:t>E</w:t>
      </w:r>
      <w:r w:rsidR="005C5C23" w:rsidRPr="007E5185">
        <w:rPr>
          <w:rFonts w:asciiTheme="majorBidi" w:hAnsiTheme="majorBidi" w:cstheme="majorBidi"/>
          <w:sz w:val="22"/>
        </w:rPr>
        <w:t xml:space="preserve">ducation settings. </w:t>
      </w:r>
      <w:r w:rsidR="002542CF" w:rsidRPr="007E5185">
        <w:rPr>
          <w:rFonts w:asciiTheme="majorBidi" w:eastAsia="Calibri" w:hAnsiTheme="majorBidi" w:cstheme="majorBidi"/>
          <w:sz w:val="22"/>
          <w:lang w:val="en-GB" w:bidi="fa-IR"/>
        </w:rPr>
        <w:t>EFL teaching and learning, particularly at university level, need to shift from traditional approaches to more modern and innovative ones</w:t>
      </w:r>
      <w:r w:rsidR="00C334E1" w:rsidRPr="007E5185">
        <w:rPr>
          <w:rFonts w:asciiTheme="majorBidi" w:hAnsiTheme="majorBidi" w:cstheme="majorBidi"/>
          <w:sz w:val="22"/>
        </w:rPr>
        <w:t xml:space="preserve"> to bring about substantial modification in Higher Education.</w:t>
      </w:r>
      <w:r w:rsidR="00C334E1" w:rsidRPr="007E5185">
        <w:rPr>
          <w:rFonts w:asciiTheme="majorBidi" w:eastAsia="Calibri" w:hAnsiTheme="majorBidi" w:cstheme="majorBidi"/>
          <w:color w:val="FF0000"/>
          <w:sz w:val="22"/>
        </w:rPr>
        <w:t xml:space="preserve"> </w:t>
      </w:r>
      <w:r w:rsidR="002542CF" w:rsidRPr="007E5185">
        <w:rPr>
          <w:rFonts w:asciiTheme="majorBidi" w:eastAsia="Calibri" w:hAnsiTheme="majorBidi" w:cstheme="majorBidi"/>
          <w:sz w:val="22"/>
          <w:lang w:val="en-GB" w:bidi="fa-IR"/>
        </w:rPr>
        <w:t xml:space="preserve">Language teachers should motivate students' </w:t>
      </w:r>
      <w:r w:rsidR="002542CF" w:rsidRPr="007E5185">
        <w:rPr>
          <w:rFonts w:asciiTheme="majorBidi" w:hAnsiTheme="majorBidi" w:cstheme="majorBidi"/>
          <w:sz w:val="22"/>
        </w:rPr>
        <w:t>active participation in the learning process</w:t>
      </w:r>
      <w:r w:rsidR="002542CF" w:rsidRPr="007E5185">
        <w:rPr>
          <w:rFonts w:asciiTheme="majorBidi" w:eastAsia="Calibri" w:hAnsiTheme="majorBidi" w:cstheme="majorBidi"/>
          <w:sz w:val="22"/>
          <w:lang w:val="en-GB" w:bidi="fa-IR"/>
        </w:rPr>
        <w:t>, and enhance their critical thinking and problem-solving abilities.</w:t>
      </w:r>
      <w:r w:rsidR="002542CF" w:rsidRPr="007E5185">
        <w:rPr>
          <w:rFonts w:asciiTheme="majorBidi" w:hAnsiTheme="majorBidi" w:cstheme="majorBidi"/>
          <w:sz w:val="22"/>
        </w:rPr>
        <w:t xml:space="preserve"> </w:t>
      </w:r>
      <w:r w:rsidR="002D6096" w:rsidRPr="007E5185">
        <w:rPr>
          <w:rFonts w:asciiTheme="majorBidi" w:hAnsiTheme="majorBidi" w:cstheme="majorBidi"/>
          <w:sz w:val="22"/>
        </w:rPr>
        <w:t xml:space="preserve">Teachers </w:t>
      </w:r>
      <w:r w:rsidR="005C5C23" w:rsidRPr="007E5185">
        <w:rPr>
          <w:rFonts w:asciiTheme="majorBidi" w:hAnsiTheme="majorBidi" w:cstheme="majorBidi"/>
          <w:sz w:val="22"/>
        </w:rPr>
        <w:t xml:space="preserve">should be able to </w:t>
      </w:r>
      <w:r w:rsidR="002542CF" w:rsidRPr="007E5185">
        <w:rPr>
          <w:rFonts w:asciiTheme="majorBidi" w:hAnsiTheme="majorBidi" w:cstheme="majorBidi"/>
          <w:sz w:val="22"/>
        </w:rPr>
        <w:t xml:space="preserve">build up </w:t>
      </w:r>
      <w:r w:rsidR="00847EEF" w:rsidRPr="007E5185">
        <w:rPr>
          <w:rFonts w:asciiTheme="majorBidi" w:hAnsiTheme="majorBidi" w:cstheme="majorBidi"/>
          <w:sz w:val="22"/>
        </w:rPr>
        <w:t xml:space="preserve">a </w:t>
      </w:r>
      <w:r w:rsidR="002542CF" w:rsidRPr="007E5185">
        <w:rPr>
          <w:rFonts w:asciiTheme="majorBidi" w:hAnsiTheme="majorBidi" w:cstheme="majorBidi"/>
          <w:sz w:val="22"/>
        </w:rPr>
        <w:t xml:space="preserve">rapport with their students, </w:t>
      </w:r>
      <w:r w:rsidR="005C5C23" w:rsidRPr="007E5185">
        <w:rPr>
          <w:rFonts w:asciiTheme="majorBidi" w:hAnsiTheme="majorBidi" w:cstheme="majorBidi"/>
          <w:sz w:val="22"/>
        </w:rPr>
        <w:t xml:space="preserve">create </w:t>
      </w:r>
      <w:r w:rsidR="004206FD" w:rsidRPr="007E5185">
        <w:rPr>
          <w:rFonts w:asciiTheme="majorBidi" w:hAnsiTheme="majorBidi" w:cstheme="majorBidi"/>
          <w:sz w:val="22"/>
        </w:rPr>
        <w:t xml:space="preserve">an appropriate </w:t>
      </w:r>
      <w:r w:rsidR="005C5C23" w:rsidRPr="007E5185">
        <w:rPr>
          <w:rFonts w:asciiTheme="majorBidi" w:hAnsiTheme="majorBidi" w:cstheme="majorBidi"/>
          <w:sz w:val="22"/>
        </w:rPr>
        <w:t>learning atmosphere</w:t>
      </w:r>
      <w:r w:rsidR="002542CF" w:rsidRPr="007E5185">
        <w:rPr>
          <w:rFonts w:asciiTheme="majorBidi" w:hAnsiTheme="majorBidi" w:cstheme="majorBidi"/>
          <w:sz w:val="22"/>
        </w:rPr>
        <w:t>,</w:t>
      </w:r>
      <w:r w:rsidR="004206FD" w:rsidRPr="007E5185">
        <w:rPr>
          <w:rFonts w:asciiTheme="majorBidi" w:hAnsiTheme="majorBidi" w:cstheme="majorBidi"/>
          <w:sz w:val="22"/>
        </w:rPr>
        <w:t xml:space="preserve"> and promote quality teaching</w:t>
      </w:r>
      <w:r w:rsidR="005C5C23" w:rsidRPr="007E5185">
        <w:rPr>
          <w:rFonts w:asciiTheme="majorBidi" w:hAnsiTheme="majorBidi" w:cstheme="majorBidi"/>
          <w:sz w:val="22"/>
        </w:rPr>
        <w:t xml:space="preserve"> in their classes</w:t>
      </w:r>
      <w:r w:rsidR="004206FD" w:rsidRPr="007E5185">
        <w:rPr>
          <w:rFonts w:asciiTheme="majorBidi" w:hAnsiTheme="majorBidi" w:cstheme="majorBidi"/>
          <w:sz w:val="22"/>
        </w:rPr>
        <w:t xml:space="preserve"> so that students at different language-ability levels </w:t>
      </w:r>
      <w:r w:rsidR="002542CF" w:rsidRPr="007E5185">
        <w:rPr>
          <w:rFonts w:asciiTheme="majorBidi" w:hAnsiTheme="majorBidi" w:cstheme="majorBidi"/>
          <w:sz w:val="22"/>
        </w:rPr>
        <w:t xml:space="preserve">readily get involved and </w:t>
      </w:r>
      <w:r w:rsidR="004206FD" w:rsidRPr="007E5185">
        <w:rPr>
          <w:rFonts w:asciiTheme="majorBidi" w:hAnsiTheme="majorBidi" w:cstheme="majorBidi"/>
          <w:sz w:val="22"/>
        </w:rPr>
        <w:t>can reach their learning potential</w:t>
      </w:r>
      <w:r w:rsidR="005C5C23" w:rsidRPr="007E5185">
        <w:rPr>
          <w:rFonts w:asciiTheme="majorBidi" w:hAnsiTheme="majorBidi" w:cstheme="majorBidi"/>
          <w:sz w:val="22"/>
        </w:rPr>
        <w:t xml:space="preserve">. </w:t>
      </w:r>
      <w:r>
        <w:rPr>
          <w:rFonts w:asciiTheme="majorBidi" w:hAnsiTheme="majorBidi" w:cstheme="majorBidi"/>
          <w:sz w:val="22"/>
        </w:rPr>
        <w:t xml:space="preserve">They need to attend more to the students’ feelings and abilities, and provide activities and ways in which students can freely participate and take responsibilities. </w:t>
      </w:r>
      <w:r w:rsidR="00A860E9">
        <w:rPr>
          <w:rFonts w:asciiTheme="majorBidi" w:hAnsiTheme="majorBidi" w:cstheme="majorBidi"/>
          <w:sz w:val="22"/>
        </w:rPr>
        <w:t>Students should be helped to reflect on their progress. Education policy makers and university administrators need to modify their policies and practices.</w:t>
      </w:r>
      <w:r w:rsidR="005004D8">
        <w:rPr>
          <w:rFonts w:asciiTheme="majorBidi" w:hAnsiTheme="majorBidi" w:cstheme="majorBidi"/>
          <w:sz w:val="22"/>
        </w:rPr>
        <w:t xml:space="preserve"> </w:t>
      </w:r>
      <w:r w:rsidR="00246B56">
        <w:rPr>
          <w:rFonts w:asciiTheme="majorBidi" w:hAnsiTheme="majorBidi" w:cstheme="majorBidi"/>
          <w:sz w:val="22"/>
        </w:rPr>
        <w:t>Finally, a</w:t>
      </w:r>
      <w:r w:rsidR="005C5C23" w:rsidRPr="007E5185">
        <w:rPr>
          <w:rFonts w:asciiTheme="majorBidi" w:hAnsiTheme="majorBidi" w:cstheme="majorBidi"/>
          <w:sz w:val="22"/>
        </w:rPr>
        <w:t xml:space="preserve">uthorities must direct more support to the teachers </w:t>
      </w:r>
      <w:r w:rsidR="00847EEF" w:rsidRPr="007E5185">
        <w:rPr>
          <w:rFonts w:asciiTheme="majorBidi" w:hAnsiTheme="majorBidi" w:cstheme="majorBidi"/>
          <w:sz w:val="22"/>
        </w:rPr>
        <w:t>by</w:t>
      </w:r>
      <w:r w:rsidR="005C5C23" w:rsidRPr="007E5185">
        <w:rPr>
          <w:rFonts w:asciiTheme="majorBidi" w:hAnsiTheme="majorBidi" w:cstheme="majorBidi"/>
          <w:sz w:val="22"/>
        </w:rPr>
        <w:t xml:space="preserve"> providing the required facilities and offering opportunities for more collaboration among the staff.</w:t>
      </w:r>
    </w:p>
    <w:p w14:paraId="3A6D0396" w14:textId="77777777" w:rsidR="00A860E9" w:rsidRPr="00A860E9" w:rsidRDefault="00B1379C" w:rsidP="00146C86">
      <w:pPr>
        <w:spacing w:after="120" w:line="240" w:lineRule="auto"/>
        <w:ind w:left="115" w:right="72" w:firstLine="562"/>
        <w:jc w:val="both"/>
        <w:rPr>
          <w:rFonts w:eastAsia="Times New Roman" w:cs="Times New Roman"/>
          <w:sz w:val="22"/>
        </w:rPr>
      </w:pPr>
      <w:r w:rsidRPr="00B1379C">
        <w:rPr>
          <w:rFonts w:eastAsia="Times New Roman" w:cs="Times New Roman"/>
          <w:sz w:val="22"/>
        </w:rPr>
        <w:t xml:space="preserve">This study presents some limitations which should be taken into account and can be the focus of future related studies. The larger sample size was not available to the researchers, therefore, the results of this study are not generalizable to the EFL learners and teachers at any EFL learning context. Secondly, </w:t>
      </w:r>
      <w:r>
        <w:rPr>
          <w:rFonts w:eastAsia="Times New Roman" w:cs="Times New Roman"/>
          <w:sz w:val="22"/>
        </w:rPr>
        <w:t>because</w:t>
      </w:r>
      <w:r w:rsidRPr="00B1379C">
        <w:rPr>
          <w:rFonts w:eastAsia="Times New Roman" w:cs="Times New Roman"/>
          <w:sz w:val="22"/>
        </w:rPr>
        <w:t xml:space="preserve"> an unequal number of male and female EFL learners participated in the study, the role of participants’ gender has not been </w:t>
      </w:r>
      <w:r>
        <w:rPr>
          <w:rFonts w:eastAsia="Times New Roman" w:cs="Times New Roman"/>
          <w:sz w:val="22"/>
        </w:rPr>
        <w:t>taken care of</w:t>
      </w:r>
      <w:r w:rsidRPr="00B1379C">
        <w:rPr>
          <w:rFonts w:eastAsia="Times New Roman" w:cs="Times New Roman"/>
          <w:sz w:val="22"/>
        </w:rPr>
        <w:t xml:space="preserve"> by the researcher</w:t>
      </w:r>
      <w:r>
        <w:rPr>
          <w:rFonts w:eastAsia="Times New Roman" w:cs="Times New Roman"/>
          <w:sz w:val="22"/>
        </w:rPr>
        <w:t>s</w:t>
      </w:r>
      <w:r w:rsidRPr="00B1379C">
        <w:rPr>
          <w:rFonts w:eastAsia="Times New Roman" w:cs="Times New Roman"/>
          <w:sz w:val="22"/>
        </w:rPr>
        <w:t xml:space="preserve">. </w:t>
      </w:r>
      <w:r w:rsidR="00A860E9">
        <w:rPr>
          <w:rFonts w:eastAsia="Times New Roman" w:cs="Times New Roman"/>
          <w:sz w:val="22"/>
        </w:rPr>
        <w:t>In</w:t>
      </w:r>
      <w:r w:rsidRPr="00B1379C">
        <w:rPr>
          <w:rFonts w:eastAsia="Times New Roman" w:cs="Times New Roman"/>
          <w:sz w:val="22"/>
        </w:rPr>
        <w:t xml:space="preserve"> future studies, interested researchers </w:t>
      </w:r>
      <w:r w:rsidR="00A860E9">
        <w:rPr>
          <w:rFonts w:eastAsia="Times New Roman" w:cs="Times New Roman"/>
          <w:sz w:val="22"/>
        </w:rPr>
        <w:t>can</w:t>
      </w:r>
      <w:r w:rsidR="00A860E9" w:rsidRPr="00A860E9">
        <w:rPr>
          <w:rFonts w:asciiTheme="majorBidi" w:hAnsiTheme="majorBidi" w:cstheme="majorBidi"/>
          <w:sz w:val="22"/>
        </w:rPr>
        <w:t xml:space="preserve"> </w:t>
      </w:r>
      <w:r w:rsidR="00A860E9" w:rsidRPr="00A860E9">
        <w:rPr>
          <w:rFonts w:eastAsia="Times New Roman" w:cs="Times New Roman"/>
          <w:sz w:val="22"/>
        </w:rPr>
        <w:t>carry out more studies on the role of employing the PA and grouping students in different disciplines, for the learners at different age ranges or of different genders, and for the learners of varying language backgrounds.</w:t>
      </w:r>
    </w:p>
    <w:p w14:paraId="032F5B1B" w14:textId="77777777" w:rsidR="00E93D2F" w:rsidRDefault="00E93D2F" w:rsidP="001132F9">
      <w:pPr>
        <w:spacing w:after="0" w:line="240" w:lineRule="auto"/>
        <w:jc w:val="both"/>
        <w:rPr>
          <w:rFonts w:asciiTheme="majorBidi" w:hAnsiTheme="majorBidi" w:cstheme="majorBidi"/>
          <w:color w:val="FF0000"/>
          <w:sz w:val="22"/>
        </w:rPr>
      </w:pPr>
    </w:p>
    <w:p w14:paraId="391E2F68" w14:textId="77777777" w:rsidR="00684DCB" w:rsidRDefault="00684DCB" w:rsidP="001132F9">
      <w:pPr>
        <w:spacing w:after="0" w:line="240" w:lineRule="auto"/>
        <w:jc w:val="both"/>
        <w:rPr>
          <w:b/>
          <w:bCs/>
          <w:sz w:val="22"/>
        </w:rPr>
      </w:pPr>
    </w:p>
    <w:p w14:paraId="560D80E5" w14:textId="77777777" w:rsidR="00684DCB" w:rsidRDefault="00684DCB" w:rsidP="001132F9">
      <w:pPr>
        <w:spacing w:after="0" w:line="240" w:lineRule="auto"/>
        <w:jc w:val="both"/>
        <w:rPr>
          <w:b/>
          <w:bCs/>
          <w:sz w:val="22"/>
        </w:rPr>
      </w:pPr>
    </w:p>
    <w:p w14:paraId="5F16C268" w14:textId="77777777" w:rsidR="00684DCB" w:rsidRDefault="00684DCB" w:rsidP="001132F9">
      <w:pPr>
        <w:spacing w:after="0" w:line="240" w:lineRule="auto"/>
        <w:jc w:val="both"/>
        <w:rPr>
          <w:b/>
          <w:bCs/>
          <w:sz w:val="22"/>
        </w:rPr>
      </w:pPr>
    </w:p>
    <w:p w14:paraId="072CFB3B" w14:textId="77777777" w:rsidR="00684DCB" w:rsidRDefault="00684DCB" w:rsidP="001132F9">
      <w:pPr>
        <w:spacing w:after="0" w:line="240" w:lineRule="auto"/>
        <w:jc w:val="both"/>
        <w:rPr>
          <w:b/>
          <w:bCs/>
          <w:sz w:val="22"/>
        </w:rPr>
      </w:pPr>
    </w:p>
    <w:p w14:paraId="63AECC0A" w14:textId="77777777" w:rsidR="00684DCB" w:rsidRDefault="00684DCB" w:rsidP="001132F9">
      <w:pPr>
        <w:spacing w:after="0" w:line="240" w:lineRule="auto"/>
        <w:jc w:val="both"/>
        <w:rPr>
          <w:b/>
          <w:bCs/>
          <w:sz w:val="22"/>
        </w:rPr>
      </w:pPr>
    </w:p>
    <w:p w14:paraId="43D69205" w14:textId="77777777" w:rsidR="00684DCB" w:rsidRDefault="00684DCB" w:rsidP="001132F9">
      <w:pPr>
        <w:spacing w:after="0" w:line="240" w:lineRule="auto"/>
        <w:jc w:val="both"/>
        <w:rPr>
          <w:b/>
          <w:bCs/>
          <w:sz w:val="22"/>
        </w:rPr>
      </w:pPr>
    </w:p>
    <w:p w14:paraId="19ACA35C" w14:textId="77777777" w:rsidR="00684DCB" w:rsidRDefault="00684DCB" w:rsidP="001132F9">
      <w:pPr>
        <w:spacing w:after="0" w:line="240" w:lineRule="auto"/>
        <w:jc w:val="both"/>
        <w:rPr>
          <w:b/>
          <w:bCs/>
          <w:sz w:val="22"/>
        </w:rPr>
      </w:pPr>
    </w:p>
    <w:p w14:paraId="0F03B639" w14:textId="77777777" w:rsidR="00684DCB" w:rsidRDefault="00684DCB" w:rsidP="001132F9">
      <w:pPr>
        <w:spacing w:after="0" w:line="240" w:lineRule="auto"/>
        <w:jc w:val="both"/>
        <w:rPr>
          <w:b/>
          <w:bCs/>
          <w:sz w:val="22"/>
        </w:rPr>
      </w:pPr>
    </w:p>
    <w:p w14:paraId="1C726C38" w14:textId="77777777" w:rsidR="00684DCB" w:rsidRDefault="00684DCB" w:rsidP="001132F9">
      <w:pPr>
        <w:spacing w:after="0" w:line="240" w:lineRule="auto"/>
        <w:jc w:val="both"/>
        <w:rPr>
          <w:b/>
          <w:bCs/>
          <w:sz w:val="22"/>
        </w:rPr>
      </w:pPr>
    </w:p>
    <w:p w14:paraId="6CAE6D11" w14:textId="77777777" w:rsidR="00684DCB" w:rsidRDefault="00684DCB" w:rsidP="001132F9">
      <w:pPr>
        <w:spacing w:after="0" w:line="240" w:lineRule="auto"/>
        <w:jc w:val="both"/>
        <w:rPr>
          <w:b/>
          <w:bCs/>
          <w:sz w:val="22"/>
        </w:rPr>
      </w:pPr>
    </w:p>
    <w:p w14:paraId="7A9B2560" w14:textId="77777777" w:rsidR="00684DCB" w:rsidRDefault="00684DCB" w:rsidP="001132F9">
      <w:pPr>
        <w:spacing w:after="0" w:line="240" w:lineRule="auto"/>
        <w:jc w:val="both"/>
        <w:rPr>
          <w:b/>
          <w:bCs/>
          <w:sz w:val="22"/>
        </w:rPr>
      </w:pPr>
    </w:p>
    <w:p w14:paraId="2CF5CBFD" w14:textId="77777777" w:rsidR="00684DCB" w:rsidRDefault="00684DCB" w:rsidP="001132F9">
      <w:pPr>
        <w:spacing w:after="0" w:line="240" w:lineRule="auto"/>
        <w:jc w:val="both"/>
        <w:rPr>
          <w:b/>
          <w:bCs/>
          <w:sz w:val="22"/>
        </w:rPr>
      </w:pPr>
    </w:p>
    <w:p w14:paraId="6C9F62FA" w14:textId="77777777" w:rsidR="00684DCB" w:rsidRDefault="00684DCB" w:rsidP="001132F9">
      <w:pPr>
        <w:spacing w:after="0" w:line="240" w:lineRule="auto"/>
        <w:jc w:val="both"/>
        <w:rPr>
          <w:b/>
          <w:bCs/>
          <w:sz w:val="22"/>
        </w:rPr>
      </w:pPr>
    </w:p>
    <w:p w14:paraId="39A50842" w14:textId="77777777" w:rsidR="00684DCB" w:rsidRDefault="00684DCB" w:rsidP="001132F9">
      <w:pPr>
        <w:spacing w:after="0" w:line="240" w:lineRule="auto"/>
        <w:jc w:val="both"/>
        <w:rPr>
          <w:b/>
          <w:bCs/>
          <w:sz w:val="22"/>
        </w:rPr>
      </w:pPr>
    </w:p>
    <w:p w14:paraId="0B3A9423" w14:textId="77777777" w:rsidR="00684DCB" w:rsidRDefault="00684DCB" w:rsidP="001132F9">
      <w:pPr>
        <w:spacing w:after="0" w:line="240" w:lineRule="auto"/>
        <w:jc w:val="both"/>
        <w:rPr>
          <w:b/>
          <w:bCs/>
          <w:sz w:val="22"/>
        </w:rPr>
      </w:pPr>
    </w:p>
    <w:p w14:paraId="6151B31E" w14:textId="77777777" w:rsidR="00684DCB" w:rsidRDefault="00684DCB" w:rsidP="001132F9">
      <w:pPr>
        <w:spacing w:after="0" w:line="240" w:lineRule="auto"/>
        <w:jc w:val="both"/>
        <w:rPr>
          <w:b/>
          <w:bCs/>
          <w:sz w:val="22"/>
        </w:rPr>
      </w:pPr>
    </w:p>
    <w:p w14:paraId="16516CC7" w14:textId="77777777" w:rsidR="00684DCB" w:rsidRDefault="00684DCB" w:rsidP="001132F9">
      <w:pPr>
        <w:spacing w:after="0" w:line="240" w:lineRule="auto"/>
        <w:jc w:val="both"/>
        <w:rPr>
          <w:b/>
          <w:bCs/>
          <w:sz w:val="22"/>
        </w:rPr>
      </w:pPr>
    </w:p>
    <w:p w14:paraId="4CC6D0D4" w14:textId="77777777" w:rsidR="00684DCB" w:rsidRDefault="00684DCB" w:rsidP="001132F9">
      <w:pPr>
        <w:spacing w:after="0" w:line="240" w:lineRule="auto"/>
        <w:jc w:val="both"/>
        <w:rPr>
          <w:b/>
          <w:bCs/>
          <w:sz w:val="22"/>
        </w:rPr>
      </w:pPr>
    </w:p>
    <w:p w14:paraId="02463A3F" w14:textId="77777777" w:rsidR="00684DCB" w:rsidRDefault="00684DCB" w:rsidP="001132F9">
      <w:pPr>
        <w:spacing w:after="0" w:line="240" w:lineRule="auto"/>
        <w:jc w:val="both"/>
        <w:rPr>
          <w:b/>
          <w:bCs/>
          <w:sz w:val="22"/>
        </w:rPr>
      </w:pPr>
    </w:p>
    <w:p w14:paraId="5B354592" w14:textId="77777777" w:rsidR="00684DCB" w:rsidRDefault="00684DCB" w:rsidP="001132F9">
      <w:pPr>
        <w:spacing w:after="0" w:line="240" w:lineRule="auto"/>
        <w:jc w:val="both"/>
        <w:rPr>
          <w:b/>
          <w:bCs/>
          <w:sz w:val="22"/>
        </w:rPr>
      </w:pPr>
    </w:p>
    <w:p w14:paraId="25BAE535" w14:textId="77777777" w:rsidR="00684DCB" w:rsidRDefault="00684DCB" w:rsidP="001132F9">
      <w:pPr>
        <w:spacing w:after="0" w:line="240" w:lineRule="auto"/>
        <w:jc w:val="both"/>
        <w:rPr>
          <w:b/>
          <w:bCs/>
          <w:sz w:val="22"/>
        </w:rPr>
      </w:pPr>
    </w:p>
    <w:p w14:paraId="0DF7F3B4" w14:textId="77777777" w:rsidR="00684DCB" w:rsidRDefault="00684DCB" w:rsidP="001132F9">
      <w:pPr>
        <w:spacing w:after="0" w:line="240" w:lineRule="auto"/>
        <w:jc w:val="both"/>
        <w:rPr>
          <w:b/>
          <w:bCs/>
          <w:sz w:val="22"/>
        </w:rPr>
      </w:pPr>
    </w:p>
    <w:p w14:paraId="7C4D04DF" w14:textId="77777777" w:rsidR="00684DCB" w:rsidRDefault="00684DCB" w:rsidP="001132F9">
      <w:pPr>
        <w:spacing w:after="0" w:line="240" w:lineRule="auto"/>
        <w:jc w:val="both"/>
        <w:rPr>
          <w:b/>
          <w:bCs/>
          <w:sz w:val="22"/>
        </w:rPr>
      </w:pPr>
    </w:p>
    <w:p w14:paraId="31C0DFF7" w14:textId="77777777" w:rsidR="00684DCB" w:rsidRDefault="00684DCB" w:rsidP="001132F9">
      <w:pPr>
        <w:spacing w:after="0" w:line="240" w:lineRule="auto"/>
        <w:jc w:val="both"/>
        <w:rPr>
          <w:b/>
          <w:bCs/>
          <w:sz w:val="22"/>
        </w:rPr>
      </w:pPr>
    </w:p>
    <w:p w14:paraId="4F5CD16F" w14:textId="77777777" w:rsidR="00684DCB" w:rsidRDefault="00684DCB" w:rsidP="001132F9">
      <w:pPr>
        <w:spacing w:after="0" w:line="240" w:lineRule="auto"/>
        <w:jc w:val="both"/>
        <w:rPr>
          <w:b/>
          <w:bCs/>
          <w:sz w:val="22"/>
        </w:rPr>
      </w:pPr>
    </w:p>
    <w:p w14:paraId="4AC6C90A" w14:textId="77777777" w:rsidR="002A4940" w:rsidRPr="0043571A" w:rsidRDefault="002A4940" w:rsidP="001132F9">
      <w:pPr>
        <w:spacing w:after="0" w:line="240" w:lineRule="auto"/>
        <w:jc w:val="both"/>
        <w:rPr>
          <w:b/>
          <w:bCs/>
          <w:sz w:val="22"/>
        </w:rPr>
      </w:pPr>
      <w:r w:rsidRPr="0043571A">
        <w:rPr>
          <w:b/>
          <w:bCs/>
          <w:sz w:val="22"/>
        </w:rPr>
        <w:lastRenderedPageBreak/>
        <w:t>References</w:t>
      </w:r>
    </w:p>
    <w:p w14:paraId="471B613F" w14:textId="4E4EEC10" w:rsidR="00350962" w:rsidRDefault="00350962" w:rsidP="00E4270D">
      <w:pPr>
        <w:autoSpaceDE w:val="0"/>
        <w:autoSpaceDN w:val="0"/>
        <w:adjustRightInd w:val="0"/>
        <w:spacing w:after="120" w:line="240" w:lineRule="auto"/>
        <w:ind w:left="567" w:hanging="567"/>
        <w:jc w:val="both"/>
        <w:rPr>
          <w:rStyle w:val="Hyperlink"/>
          <w:rFonts w:eastAsia="Times New Roman" w:cs="Times New Roman"/>
          <w:color w:val="auto"/>
          <w:sz w:val="22"/>
          <w:u w:val="none"/>
          <w:lang w:val="en"/>
        </w:rPr>
      </w:pPr>
      <w:r w:rsidRPr="0043571A">
        <w:rPr>
          <w:rFonts w:eastAsia="Times New Roman" w:cs="Times New Roman"/>
          <w:sz w:val="22"/>
          <w:lang w:val="en"/>
        </w:rPr>
        <w:t>Ahmadi, N., Motallebzade, Kh.</w:t>
      </w:r>
      <w:r w:rsidR="00674C35">
        <w:rPr>
          <w:rFonts w:eastAsia="Times New Roman" w:cs="Times New Roman"/>
          <w:sz w:val="22"/>
          <w:lang w:val="en"/>
        </w:rPr>
        <w:t>,</w:t>
      </w:r>
      <w:r w:rsidRPr="0043571A">
        <w:rPr>
          <w:rFonts w:eastAsia="Times New Roman" w:cs="Times New Roman"/>
          <w:sz w:val="22"/>
          <w:lang w:val="en"/>
        </w:rPr>
        <w:t xml:space="preserve"> &amp; Fatemi, M., A. (2014). </w:t>
      </w:r>
      <w:r w:rsidR="008F2F73" w:rsidRPr="0043571A">
        <w:rPr>
          <w:rFonts w:eastAsia="Times New Roman" w:cs="Times New Roman"/>
          <w:sz w:val="22"/>
        </w:rPr>
        <w:t>The effect of cooperative learning s</w:t>
      </w:r>
      <w:r w:rsidRPr="0043571A">
        <w:rPr>
          <w:rFonts w:eastAsia="Times New Roman" w:cs="Times New Roman"/>
          <w:sz w:val="22"/>
        </w:rPr>
        <w:t xml:space="preserve">trategies on Iranian </w:t>
      </w:r>
      <w:r w:rsidR="008F2F73" w:rsidRPr="0043571A">
        <w:rPr>
          <w:rFonts w:eastAsia="Times New Roman" w:cs="Times New Roman"/>
          <w:sz w:val="22"/>
        </w:rPr>
        <w:t>intermediate students’ writing a</w:t>
      </w:r>
      <w:r w:rsidRPr="0043571A">
        <w:rPr>
          <w:rFonts w:eastAsia="Times New Roman" w:cs="Times New Roman"/>
          <w:sz w:val="22"/>
        </w:rPr>
        <w:t>chievement.</w:t>
      </w:r>
      <w:r w:rsidR="005004D8">
        <w:rPr>
          <w:rFonts w:eastAsia="Times New Roman" w:cs="Times New Roman"/>
          <w:sz w:val="22"/>
        </w:rPr>
        <w:t xml:space="preserve"> </w:t>
      </w:r>
      <w:bookmarkStart w:id="0" w:name="_GoBack"/>
      <w:bookmarkEnd w:id="0"/>
      <w:r w:rsidR="004E01DF" w:rsidRPr="0043571A">
        <w:rPr>
          <w:rFonts w:eastAsia="Times New Roman" w:cs="Times New Roman"/>
          <w:i/>
          <w:iCs/>
          <w:sz w:val="22"/>
        </w:rPr>
        <w:t xml:space="preserve">Scientific Research, </w:t>
      </w:r>
      <w:r w:rsidR="00E70B2B" w:rsidRPr="0043571A">
        <w:rPr>
          <w:rFonts w:eastAsia="Times New Roman" w:cs="Times New Roman"/>
          <w:i/>
          <w:iCs/>
          <w:sz w:val="22"/>
        </w:rPr>
        <w:t>1</w:t>
      </w:r>
      <w:r w:rsidR="00E70B2B" w:rsidRPr="0043571A">
        <w:rPr>
          <w:rFonts w:eastAsia="Times New Roman" w:cs="Times New Roman"/>
          <w:sz w:val="22"/>
        </w:rPr>
        <w:t>(</w:t>
      </w:r>
      <w:r w:rsidRPr="0043571A">
        <w:rPr>
          <w:rFonts w:eastAsia="Times New Roman" w:cs="Times New Roman"/>
          <w:sz w:val="22"/>
        </w:rPr>
        <w:t>9</w:t>
      </w:r>
      <w:r w:rsidR="00E70B2B" w:rsidRPr="0043571A">
        <w:rPr>
          <w:rFonts w:eastAsia="Times New Roman" w:cs="Times New Roman"/>
          <w:sz w:val="22"/>
        </w:rPr>
        <w:t>)</w:t>
      </w:r>
      <w:r w:rsidR="004E01DF" w:rsidRPr="0043571A">
        <w:rPr>
          <w:rFonts w:eastAsia="Times New Roman" w:cs="Times New Roman"/>
          <w:i/>
          <w:iCs/>
          <w:sz w:val="22"/>
        </w:rPr>
        <w:t xml:space="preserve">. </w:t>
      </w:r>
      <w:r w:rsidR="004E01DF" w:rsidRPr="0043571A">
        <w:rPr>
          <w:rFonts w:eastAsia="Times New Roman" w:cs="Times New Roman"/>
          <w:sz w:val="22"/>
          <w:lang w:val="en"/>
        </w:rPr>
        <w:t>Retrieved from</w:t>
      </w:r>
      <w:r w:rsidR="008F2F73" w:rsidRPr="0043571A">
        <w:rPr>
          <w:rFonts w:eastAsia="Times New Roman" w:cs="Times New Roman"/>
          <w:sz w:val="22"/>
          <w:lang w:val="en"/>
        </w:rPr>
        <w:t xml:space="preserve"> </w:t>
      </w:r>
      <w:hyperlink r:id="rId12" w:history="1">
        <w:r w:rsidR="00CF329E" w:rsidRPr="0043571A">
          <w:rPr>
            <w:rStyle w:val="Hyperlink"/>
            <w:rFonts w:eastAsia="Times New Roman" w:cs="Times New Roman"/>
            <w:color w:val="auto"/>
            <w:sz w:val="22"/>
            <w:u w:val="none"/>
            <w:lang w:val="en"/>
          </w:rPr>
          <w:t>http://creativecommons.org/licenses/by/4.0</w:t>
        </w:r>
      </w:hyperlink>
    </w:p>
    <w:p w14:paraId="006E8BDA" w14:textId="77777777" w:rsidR="0043571A" w:rsidRPr="0043571A" w:rsidRDefault="0043571A" w:rsidP="00E4270D">
      <w:pPr>
        <w:autoSpaceDE w:val="0"/>
        <w:autoSpaceDN w:val="0"/>
        <w:adjustRightInd w:val="0"/>
        <w:spacing w:after="120" w:line="240" w:lineRule="auto"/>
        <w:ind w:left="567" w:hanging="567"/>
        <w:jc w:val="both"/>
        <w:rPr>
          <w:rFonts w:eastAsia="Times New Roman" w:cs="Times New Roman"/>
          <w:sz w:val="22"/>
          <w:lang w:val="en"/>
        </w:rPr>
      </w:pPr>
      <w:r w:rsidRPr="0043571A">
        <w:rPr>
          <w:rFonts w:eastAsia="Times New Roman" w:cs="Times New Roman"/>
          <w:sz w:val="22"/>
        </w:rPr>
        <w:t xml:space="preserve">Allwright, D. (2014). </w:t>
      </w:r>
      <w:r w:rsidRPr="0043571A">
        <w:rPr>
          <w:rFonts w:eastAsia="Times New Roman" w:cs="Times New Roman"/>
          <w:i/>
          <w:iCs/>
          <w:sz w:val="22"/>
        </w:rPr>
        <w:t>Observation in the language classroom</w:t>
      </w:r>
      <w:r w:rsidRPr="0043571A">
        <w:rPr>
          <w:rFonts w:eastAsia="Times New Roman" w:cs="Times New Roman"/>
          <w:sz w:val="22"/>
        </w:rPr>
        <w:t xml:space="preserve">. </w:t>
      </w:r>
      <w:r>
        <w:rPr>
          <w:rFonts w:eastAsia="Times New Roman" w:cs="Times New Roman"/>
          <w:sz w:val="22"/>
        </w:rPr>
        <w:t xml:space="preserve">London. </w:t>
      </w:r>
      <w:r w:rsidRPr="0043571A">
        <w:rPr>
          <w:rFonts w:eastAsia="Times New Roman" w:cs="Times New Roman"/>
          <w:sz w:val="22"/>
        </w:rPr>
        <w:t>Routledge.</w:t>
      </w:r>
      <w:r w:rsidRPr="0043571A">
        <w:t xml:space="preserve"> </w:t>
      </w:r>
      <w:hyperlink r:id="rId13" w:history="1">
        <w:r w:rsidRPr="0043571A">
          <w:rPr>
            <w:rStyle w:val="Hyperlink"/>
            <w:rFonts w:eastAsia="Times New Roman" w:cs="Times New Roman"/>
            <w:color w:val="auto"/>
            <w:sz w:val="22"/>
            <w:u w:val="none"/>
          </w:rPr>
          <w:t>doi</w:t>
        </w:r>
      </w:hyperlink>
      <w:r w:rsidRPr="0043571A">
        <w:rPr>
          <w:rFonts w:eastAsia="Times New Roman" w:cs="Times New Roman"/>
          <w:sz w:val="22"/>
        </w:rPr>
        <w:t>:</w:t>
      </w:r>
      <w:r>
        <w:rPr>
          <w:rFonts w:eastAsia="Times New Roman" w:cs="Times New Roman"/>
          <w:sz w:val="22"/>
        </w:rPr>
        <w:t xml:space="preserve"> </w:t>
      </w:r>
      <w:r w:rsidRPr="0043571A">
        <w:rPr>
          <w:rFonts w:eastAsia="Times New Roman" w:cs="Times New Roman"/>
          <w:sz w:val="22"/>
        </w:rPr>
        <w:t>10.4324/9781315835907</w:t>
      </w:r>
    </w:p>
    <w:p w14:paraId="2BF7D521" w14:textId="77777777" w:rsidR="00CF329E" w:rsidRPr="0043571A" w:rsidRDefault="00CF329E" w:rsidP="00E4270D">
      <w:pPr>
        <w:autoSpaceDE w:val="0"/>
        <w:autoSpaceDN w:val="0"/>
        <w:adjustRightInd w:val="0"/>
        <w:spacing w:after="120" w:line="240" w:lineRule="auto"/>
        <w:ind w:left="567" w:hanging="567"/>
        <w:jc w:val="both"/>
        <w:rPr>
          <w:rFonts w:eastAsia="Times New Roman" w:cs="Times New Roman"/>
          <w:sz w:val="22"/>
          <w:lang w:val="en"/>
        </w:rPr>
      </w:pPr>
      <w:r w:rsidRPr="0043571A">
        <w:rPr>
          <w:rFonts w:eastAsia="Times New Roman" w:cs="Times New Roman"/>
          <w:sz w:val="22"/>
          <w:lang w:val="en"/>
        </w:rPr>
        <w:t xml:space="preserve">Amey, M. J. (2010). Administrative perspectives on international partnerships. </w:t>
      </w:r>
      <w:r w:rsidRPr="0043571A">
        <w:rPr>
          <w:rFonts w:eastAsia="Times New Roman" w:cs="Times New Roman"/>
          <w:i/>
          <w:iCs/>
          <w:sz w:val="22"/>
          <w:lang w:val="en"/>
        </w:rPr>
        <w:t xml:space="preserve">New Directions for Higher Education. </w:t>
      </w:r>
      <w:r w:rsidR="006D5BA7" w:rsidRPr="0043571A">
        <w:rPr>
          <w:rFonts w:eastAsia="Times New Roman" w:cs="Times New Roman"/>
          <w:sz w:val="22"/>
          <w:lang w:val="en"/>
        </w:rPr>
        <w:t>(</w:t>
      </w:r>
      <w:r w:rsidRPr="0043571A">
        <w:rPr>
          <w:rFonts w:eastAsia="Times New Roman" w:cs="Times New Roman"/>
          <w:sz w:val="22"/>
          <w:lang w:val="en"/>
        </w:rPr>
        <w:t>150</w:t>
      </w:r>
      <w:r w:rsidR="006D5BA7" w:rsidRPr="0043571A">
        <w:rPr>
          <w:rFonts w:eastAsia="Times New Roman" w:cs="Times New Roman"/>
          <w:sz w:val="22"/>
          <w:lang w:val="en"/>
        </w:rPr>
        <w:t>)</w:t>
      </w:r>
      <w:r w:rsidRPr="0043571A">
        <w:rPr>
          <w:rFonts w:eastAsia="Times New Roman" w:cs="Times New Roman"/>
          <w:sz w:val="22"/>
          <w:lang w:val="en"/>
        </w:rPr>
        <w:t>, 57-67.</w:t>
      </w:r>
      <w:r w:rsidR="006D5BA7" w:rsidRPr="0043571A">
        <w:rPr>
          <w:sz w:val="22"/>
        </w:rPr>
        <w:t xml:space="preserve"> </w:t>
      </w:r>
      <w:r w:rsidR="006D5BA7" w:rsidRPr="0043571A">
        <w:rPr>
          <w:rFonts w:eastAsia="Times New Roman" w:cs="Times New Roman"/>
          <w:sz w:val="22"/>
          <w:lang w:val="en"/>
        </w:rPr>
        <w:t>doi: 10.1002/he.390</w:t>
      </w:r>
    </w:p>
    <w:p w14:paraId="5DB82FE6" w14:textId="77777777" w:rsidR="006376B5" w:rsidRPr="0043571A" w:rsidRDefault="006376B5"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 xml:space="preserve">Ballantine, J., &amp; Larres, P. M. (2007). Cooperative learning: A pedagogy to improve students' generic skills? </w:t>
      </w:r>
      <w:r w:rsidRPr="0043571A">
        <w:rPr>
          <w:rFonts w:eastAsia="Times New Roman" w:cs="Times New Roman"/>
          <w:i/>
          <w:iCs/>
          <w:sz w:val="22"/>
        </w:rPr>
        <w:t xml:space="preserve">Education </w:t>
      </w:r>
      <w:r w:rsidR="00893C18" w:rsidRPr="0043571A">
        <w:rPr>
          <w:rFonts w:eastAsia="Times New Roman" w:cs="Times New Roman"/>
          <w:i/>
          <w:iCs/>
          <w:sz w:val="22"/>
        </w:rPr>
        <w:t>and</w:t>
      </w:r>
      <w:r w:rsidRPr="0043571A">
        <w:rPr>
          <w:rFonts w:eastAsia="Times New Roman" w:cs="Times New Roman"/>
          <w:i/>
          <w:iCs/>
          <w:sz w:val="22"/>
        </w:rPr>
        <w:t xml:space="preserve"> Training, 49</w:t>
      </w:r>
      <w:r w:rsidR="004E01DF" w:rsidRPr="0043571A">
        <w:rPr>
          <w:rFonts w:eastAsia="Times New Roman" w:cs="Times New Roman"/>
          <w:sz w:val="22"/>
        </w:rPr>
        <w:t>(2)</w:t>
      </w:r>
      <w:r w:rsidRPr="0043571A">
        <w:rPr>
          <w:rFonts w:eastAsia="Times New Roman" w:cs="Times New Roman"/>
          <w:sz w:val="22"/>
        </w:rPr>
        <w:t>, 126-137.</w:t>
      </w:r>
      <w:r w:rsidR="004E01DF" w:rsidRPr="0043571A">
        <w:rPr>
          <w:sz w:val="22"/>
        </w:rPr>
        <w:t xml:space="preserve"> Retrieved from</w:t>
      </w:r>
      <w:r w:rsidR="008C2CD8" w:rsidRPr="0043571A">
        <w:rPr>
          <w:sz w:val="22"/>
        </w:rPr>
        <w:t xml:space="preserve"> </w:t>
      </w:r>
      <w:r w:rsidR="008C2CD8" w:rsidRPr="0043571A">
        <w:rPr>
          <w:rFonts w:eastAsia="Times New Roman" w:cs="Times New Roman"/>
          <w:sz w:val="22"/>
        </w:rPr>
        <w:t>https://www.emeraldinsight.com/doi/abs/10.1108/00400910710739487</w:t>
      </w:r>
    </w:p>
    <w:p w14:paraId="7E1278E2" w14:textId="0614F4AA" w:rsidR="0065429A" w:rsidRPr="0043571A" w:rsidRDefault="0065429A"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lang w:val="en"/>
        </w:rPr>
        <w:t xml:space="preserve">Barros, B., &amp; Verdejo, F. (1998). </w:t>
      </w:r>
      <w:r w:rsidRPr="0043571A">
        <w:rPr>
          <w:rFonts w:eastAsia="Times New Roman" w:cs="Times New Roman"/>
          <w:i/>
          <w:iCs/>
          <w:sz w:val="22"/>
          <w:lang w:val="en"/>
        </w:rPr>
        <w:t>Designing workspaces to support collaborative learning</w:t>
      </w:r>
      <w:r w:rsidRPr="0043571A">
        <w:rPr>
          <w:rFonts w:eastAsia="Times New Roman" w:cs="Times New Roman"/>
          <w:sz w:val="22"/>
          <w:lang w:val="en"/>
        </w:rPr>
        <w:t>. Castellón: National University of Distance Education.</w:t>
      </w:r>
      <w:r w:rsidR="00D22E79" w:rsidRPr="0043571A">
        <w:rPr>
          <w:rFonts w:eastAsia="Times New Roman" w:cs="Times New Roman"/>
          <w:sz w:val="22"/>
          <w:lang w:val="en"/>
        </w:rPr>
        <w:t xml:space="preserve"> </w:t>
      </w:r>
      <w:r w:rsidR="008C2CD8" w:rsidRPr="0043571A">
        <w:rPr>
          <w:rFonts w:eastAsia="Times New Roman" w:cs="Times New Roman"/>
          <w:sz w:val="22"/>
          <w:lang w:val="en"/>
        </w:rPr>
        <w:t>Retrieved from:</w:t>
      </w:r>
      <w:r w:rsidR="005004D8">
        <w:rPr>
          <w:rFonts w:eastAsia="Times New Roman" w:cs="Times New Roman"/>
          <w:sz w:val="22"/>
          <w:lang w:val="en"/>
        </w:rPr>
        <w:t xml:space="preserve"> </w:t>
      </w:r>
      <w:hyperlink r:id="rId14" w:history="1">
        <w:r w:rsidR="0043571A" w:rsidRPr="0043571A">
          <w:rPr>
            <w:rStyle w:val="Hyperlink"/>
            <w:rFonts w:eastAsia="Times New Roman" w:cs="Times New Roman"/>
            <w:color w:val="auto"/>
            <w:sz w:val="22"/>
            <w:u w:val="none"/>
          </w:rPr>
          <w:t>https://link.springer.com/chapter/10.1007/3-540-64574-8_453</w:t>
        </w:r>
      </w:hyperlink>
    </w:p>
    <w:p w14:paraId="25B47508" w14:textId="77777777" w:rsidR="0043571A" w:rsidRPr="0043571A" w:rsidRDefault="0043571A"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 xml:space="preserve">Bryant, D. R. (2019). </w:t>
      </w:r>
      <w:r w:rsidRPr="0043571A">
        <w:rPr>
          <w:rFonts w:eastAsia="Times New Roman" w:cs="Times New Roman"/>
          <w:i/>
          <w:iCs/>
          <w:sz w:val="22"/>
        </w:rPr>
        <w:t>Middle school teachers’ perception of instructional coaching</w:t>
      </w:r>
      <w:r w:rsidRPr="0043571A">
        <w:rPr>
          <w:rFonts w:eastAsia="Times New Roman" w:cs="Times New Roman"/>
          <w:sz w:val="22"/>
        </w:rPr>
        <w:t>. Walden University. Walden Dissertations and Doctoral Studies. Retrieved from https://scholarworks.waldenu.edu/cgi/viewcontent.cgi?article=7675&amp;context=dissertations</w:t>
      </w:r>
    </w:p>
    <w:p w14:paraId="16FA825C" w14:textId="77777777" w:rsidR="00296739" w:rsidRPr="0043571A" w:rsidRDefault="00AE1AFF" w:rsidP="00E4270D">
      <w:pPr>
        <w:autoSpaceDE w:val="0"/>
        <w:autoSpaceDN w:val="0"/>
        <w:adjustRightInd w:val="0"/>
        <w:spacing w:after="120" w:line="240" w:lineRule="auto"/>
        <w:ind w:left="567" w:hanging="567"/>
        <w:jc w:val="both"/>
        <w:rPr>
          <w:rFonts w:eastAsia="Calibri" w:cs="Times New Roman"/>
          <w:sz w:val="22"/>
        </w:rPr>
      </w:pPr>
      <w:r w:rsidRPr="00E4270D">
        <w:rPr>
          <w:rFonts w:eastAsia="Times New Roman" w:cs="Times New Roman"/>
          <w:sz w:val="22"/>
        </w:rPr>
        <w:t>Bryson</w:t>
      </w:r>
      <w:r w:rsidRPr="0043571A">
        <w:rPr>
          <w:rFonts w:eastAsia="Calibri" w:cs="Times New Roman"/>
          <w:sz w:val="22"/>
        </w:rPr>
        <w:t xml:space="preserve">, C. (2014). </w:t>
      </w:r>
      <w:r w:rsidRPr="0043571A">
        <w:rPr>
          <w:rFonts w:eastAsia="Calibri" w:cs="Times New Roman"/>
          <w:i/>
          <w:iCs/>
          <w:sz w:val="22"/>
        </w:rPr>
        <w:t>Understanding and developing student engagement.</w:t>
      </w:r>
      <w:r w:rsidRPr="0043571A">
        <w:rPr>
          <w:rFonts w:eastAsia="Calibri" w:cs="Times New Roman"/>
          <w:sz w:val="22"/>
        </w:rPr>
        <w:t xml:space="preserve"> Abingdon: Routledge.</w:t>
      </w:r>
    </w:p>
    <w:p w14:paraId="2367BDB8" w14:textId="77777777" w:rsidR="00AE1AFF" w:rsidRPr="0043571A" w:rsidRDefault="003B3265" w:rsidP="00E4270D">
      <w:pPr>
        <w:autoSpaceDE w:val="0"/>
        <w:autoSpaceDN w:val="0"/>
        <w:adjustRightInd w:val="0"/>
        <w:spacing w:after="120" w:line="240" w:lineRule="auto"/>
        <w:ind w:left="567" w:hanging="567"/>
        <w:jc w:val="both"/>
        <w:rPr>
          <w:rFonts w:asciiTheme="majorBidi" w:eastAsia="Calibri" w:hAnsiTheme="majorBidi" w:cstheme="majorBidi"/>
          <w:sz w:val="22"/>
        </w:rPr>
      </w:pPr>
      <w:r w:rsidRPr="00E4270D">
        <w:rPr>
          <w:rFonts w:eastAsia="Times New Roman" w:cs="Times New Roman"/>
          <w:sz w:val="22"/>
        </w:rPr>
        <w:t>Buckley</w:t>
      </w:r>
      <w:r w:rsidRPr="0043571A">
        <w:rPr>
          <w:rFonts w:asciiTheme="majorBidi" w:hAnsiTheme="majorBidi" w:cstheme="majorBidi"/>
          <w:sz w:val="22"/>
        </w:rPr>
        <w:t>, J., Archibald, T., Hargraves, M., &amp; Trochim, W. M. (2015). Defining</w:t>
      </w:r>
      <w:r w:rsidR="00D330CA" w:rsidRPr="0043571A">
        <w:rPr>
          <w:rFonts w:asciiTheme="majorBidi" w:hAnsiTheme="majorBidi" w:cstheme="majorBidi"/>
          <w:color w:val="111111"/>
          <w:sz w:val="22"/>
        </w:rPr>
        <w:t xml:space="preserve"> and teaching evaluative thinking: Insights from research on critical t</w:t>
      </w:r>
      <w:r w:rsidR="00296739" w:rsidRPr="0043571A">
        <w:rPr>
          <w:rFonts w:asciiTheme="majorBidi" w:hAnsiTheme="majorBidi" w:cstheme="majorBidi"/>
          <w:color w:val="111111"/>
          <w:sz w:val="22"/>
        </w:rPr>
        <w:t>hinking</w:t>
      </w:r>
      <w:r w:rsidRPr="0043571A">
        <w:rPr>
          <w:rFonts w:asciiTheme="majorBidi" w:hAnsiTheme="majorBidi" w:cstheme="majorBidi"/>
          <w:color w:val="111111"/>
          <w:sz w:val="22"/>
        </w:rPr>
        <w:t xml:space="preserve">. </w:t>
      </w:r>
      <w:hyperlink r:id="rId15" w:history="1">
        <w:r w:rsidRPr="0043571A">
          <w:rPr>
            <w:rFonts w:asciiTheme="majorBidi" w:hAnsiTheme="majorBidi" w:cstheme="majorBidi"/>
            <w:i/>
            <w:iCs/>
            <w:sz w:val="22"/>
          </w:rPr>
          <w:t>American Journal of Evaluation</w:t>
        </w:r>
      </w:hyperlink>
      <w:r w:rsidRPr="0043571A">
        <w:rPr>
          <w:rFonts w:asciiTheme="majorBidi" w:hAnsiTheme="majorBidi" w:cstheme="majorBidi"/>
          <w:i/>
          <w:iCs/>
          <w:sz w:val="22"/>
        </w:rPr>
        <w:t xml:space="preserve"> 36</w:t>
      </w:r>
      <w:r w:rsidRPr="0043571A">
        <w:rPr>
          <w:rFonts w:asciiTheme="majorBidi" w:hAnsiTheme="majorBidi" w:cstheme="majorBidi"/>
          <w:sz w:val="22"/>
        </w:rPr>
        <w:t>(3</w:t>
      </w:r>
      <w:r w:rsidRPr="0043571A">
        <w:rPr>
          <w:rFonts w:asciiTheme="majorBidi" w:eastAsia="Calibri" w:hAnsiTheme="majorBidi" w:cstheme="majorBidi"/>
          <w:sz w:val="22"/>
        </w:rPr>
        <w:t>).</w:t>
      </w:r>
      <w:r w:rsidRPr="0043571A">
        <w:rPr>
          <w:rFonts w:asciiTheme="majorBidi" w:hAnsiTheme="majorBidi" w:cstheme="majorBidi"/>
          <w:sz w:val="22"/>
        </w:rPr>
        <w:t xml:space="preserve"> </w:t>
      </w:r>
      <w:r w:rsidR="00D330CA" w:rsidRPr="0043571A">
        <w:rPr>
          <w:rFonts w:asciiTheme="majorBidi" w:hAnsiTheme="majorBidi" w:cstheme="majorBidi"/>
          <w:sz w:val="22"/>
        </w:rPr>
        <w:t>doi</w:t>
      </w:r>
      <w:r w:rsidRPr="0043571A">
        <w:rPr>
          <w:rFonts w:asciiTheme="majorBidi" w:hAnsiTheme="majorBidi" w:cstheme="majorBidi"/>
          <w:sz w:val="22"/>
        </w:rPr>
        <w:t>: 10.1177/1098214015581706</w:t>
      </w:r>
    </w:p>
    <w:p w14:paraId="5DE5FB75" w14:textId="77777777" w:rsidR="005E5368" w:rsidRPr="0043571A" w:rsidRDefault="005E5368" w:rsidP="00E4270D">
      <w:pPr>
        <w:autoSpaceDE w:val="0"/>
        <w:autoSpaceDN w:val="0"/>
        <w:adjustRightInd w:val="0"/>
        <w:spacing w:after="120" w:line="240" w:lineRule="auto"/>
        <w:ind w:left="567" w:hanging="567"/>
        <w:jc w:val="both"/>
        <w:rPr>
          <w:rFonts w:eastAsia="Calibri" w:cs="Times New Roman"/>
          <w:sz w:val="22"/>
        </w:rPr>
      </w:pPr>
      <w:r w:rsidRPr="00E4270D">
        <w:rPr>
          <w:rFonts w:eastAsia="Times New Roman" w:cs="Times New Roman"/>
          <w:sz w:val="22"/>
        </w:rPr>
        <w:t>Cook</w:t>
      </w:r>
      <w:r w:rsidRPr="0043571A">
        <w:rPr>
          <w:rFonts w:eastAsia="Calibri" w:cs="Times New Roman"/>
          <w:sz w:val="22"/>
        </w:rPr>
        <w:t>-Sather, A., Bovill, C.</w:t>
      </w:r>
      <w:r w:rsidR="001E6206" w:rsidRPr="0043571A">
        <w:rPr>
          <w:rFonts w:eastAsia="Calibri" w:cs="Times New Roman"/>
          <w:sz w:val="22"/>
        </w:rPr>
        <w:t>,</w:t>
      </w:r>
      <w:r w:rsidRPr="0043571A">
        <w:rPr>
          <w:rFonts w:eastAsia="Calibri" w:cs="Times New Roman"/>
          <w:sz w:val="22"/>
        </w:rPr>
        <w:t xml:space="preserve"> &amp; Felten, P. (2014). </w:t>
      </w:r>
      <w:r w:rsidRPr="0043571A">
        <w:rPr>
          <w:rFonts w:eastAsia="Calibri" w:cs="Times New Roman"/>
          <w:i/>
          <w:iCs/>
          <w:sz w:val="22"/>
        </w:rPr>
        <w:t xml:space="preserve">Engaging students as partners in learning and teaching: A guide for faculty. </w:t>
      </w:r>
      <w:r w:rsidR="00A474B1" w:rsidRPr="0043571A">
        <w:rPr>
          <w:rFonts w:eastAsia="Calibri" w:cs="Times New Roman"/>
          <w:sz w:val="22"/>
        </w:rPr>
        <w:t>San Francisco, CA: Jossey-Bass.</w:t>
      </w:r>
    </w:p>
    <w:p w14:paraId="5AEC9982" w14:textId="77777777" w:rsidR="0065429A" w:rsidRPr="0043571A" w:rsidRDefault="007D079E" w:rsidP="00674C35">
      <w:pPr>
        <w:autoSpaceDE w:val="0"/>
        <w:autoSpaceDN w:val="0"/>
        <w:adjustRightInd w:val="0"/>
        <w:spacing w:after="120" w:line="240" w:lineRule="auto"/>
        <w:ind w:left="567" w:hanging="567"/>
        <w:jc w:val="both"/>
        <w:rPr>
          <w:rFonts w:eastAsia="Calibri" w:cs="Times New Roman"/>
          <w:sz w:val="22"/>
        </w:rPr>
      </w:pPr>
      <w:r w:rsidRPr="0043571A">
        <w:rPr>
          <w:rFonts w:eastAsia="Calibri" w:cs="Times New Roman"/>
          <w:sz w:val="22"/>
        </w:rPr>
        <w:t xml:space="preserve">Cooper, B. (2014). </w:t>
      </w:r>
      <w:r w:rsidRPr="0043571A">
        <w:rPr>
          <w:rFonts w:eastAsia="Calibri" w:cs="Times New Roman"/>
          <w:i/>
          <w:iCs/>
          <w:sz w:val="22"/>
        </w:rPr>
        <w:t>Students as partners: Embracing the new paradigm in mathematics</w:t>
      </w:r>
      <w:r w:rsidRPr="0043571A">
        <w:rPr>
          <w:rFonts w:eastAsia="Calibri" w:cs="Times New Roman"/>
          <w:sz w:val="22"/>
        </w:rPr>
        <w:t xml:space="preserve">. </w:t>
      </w:r>
      <w:r w:rsidR="00237C67" w:rsidRPr="0043571A">
        <w:rPr>
          <w:rFonts w:eastAsia="Calibri" w:cs="Times New Roman"/>
          <w:sz w:val="22"/>
        </w:rPr>
        <w:t>doi</w:t>
      </w:r>
      <w:r w:rsidRPr="0043571A">
        <w:rPr>
          <w:rFonts w:eastAsia="Calibri" w:cs="Times New Roman"/>
          <w:sz w:val="22"/>
        </w:rPr>
        <w:t>: 10.11120/msor.2014.00022.</w:t>
      </w:r>
      <w:r w:rsidR="00B67C42" w:rsidRPr="0043571A">
        <w:rPr>
          <w:rFonts w:eastAsia="Calibri" w:cs="Times New Roman"/>
          <w:sz w:val="22"/>
        </w:rPr>
        <w:t xml:space="preserve"> Available from;</w:t>
      </w:r>
      <w:r w:rsidR="00B67C42" w:rsidRPr="0043571A">
        <w:rPr>
          <w:sz w:val="22"/>
        </w:rPr>
        <w:t xml:space="preserve"> </w:t>
      </w:r>
      <w:r w:rsidR="00B67C42" w:rsidRPr="0043571A">
        <w:rPr>
          <w:rFonts w:eastAsia="Calibri" w:cs="Times New Roman"/>
          <w:sz w:val="22"/>
        </w:rPr>
        <w:t>https://www.researchgate.net/publication/275106885</w:t>
      </w:r>
    </w:p>
    <w:p w14:paraId="41CA008B" w14:textId="77777777" w:rsidR="002B0EB1" w:rsidRPr="0043571A" w:rsidRDefault="002B0EB1" w:rsidP="00E4270D">
      <w:pPr>
        <w:autoSpaceDE w:val="0"/>
        <w:autoSpaceDN w:val="0"/>
        <w:adjustRightInd w:val="0"/>
        <w:spacing w:after="120" w:line="240" w:lineRule="auto"/>
        <w:ind w:left="567" w:hanging="567"/>
        <w:jc w:val="both"/>
        <w:rPr>
          <w:rFonts w:eastAsia="Times New Roman" w:cs="Times New Roman"/>
          <w:sz w:val="22"/>
        </w:rPr>
      </w:pPr>
      <w:r w:rsidRPr="00674C35">
        <w:rPr>
          <w:rFonts w:eastAsia="Calibri" w:cs="Times New Roman"/>
          <w:sz w:val="22"/>
        </w:rPr>
        <w:t>Crawford</w:t>
      </w:r>
      <w:r w:rsidRPr="0043571A">
        <w:rPr>
          <w:rFonts w:eastAsia="Times New Roman" w:cs="Times New Roman"/>
          <w:sz w:val="22"/>
        </w:rPr>
        <w:t xml:space="preserve">, K., Horsley, R., Hagyard, A., &amp; Derricot, D. (2015). </w:t>
      </w:r>
      <w:r w:rsidRPr="0043571A">
        <w:rPr>
          <w:rFonts w:eastAsia="Times New Roman" w:cs="Times New Roman"/>
          <w:i/>
          <w:iCs/>
          <w:sz w:val="22"/>
        </w:rPr>
        <w:t xml:space="preserve">Pedagogies of partnership: What works? </w:t>
      </w:r>
      <w:r w:rsidRPr="0043571A">
        <w:rPr>
          <w:rFonts w:eastAsia="Times New Roman" w:cs="Times New Roman"/>
          <w:sz w:val="22"/>
        </w:rPr>
        <w:t>York: HE Academy.</w:t>
      </w:r>
    </w:p>
    <w:p w14:paraId="7D83B90C" w14:textId="77777777" w:rsidR="009338CB" w:rsidRPr="0043571A" w:rsidRDefault="002B0EB1" w:rsidP="00E4270D">
      <w:pPr>
        <w:autoSpaceDE w:val="0"/>
        <w:autoSpaceDN w:val="0"/>
        <w:adjustRightInd w:val="0"/>
        <w:spacing w:after="120" w:line="240" w:lineRule="auto"/>
        <w:ind w:left="567" w:hanging="567"/>
        <w:jc w:val="both"/>
        <w:rPr>
          <w:rFonts w:ascii="&amp;quot" w:eastAsia="Times New Roman" w:hAnsi="&amp;quot" w:cs="Times New Roman"/>
          <w:sz w:val="22"/>
          <w:lang w:bidi="fa-IR"/>
        </w:rPr>
      </w:pPr>
      <w:r w:rsidRPr="0043571A">
        <w:rPr>
          <w:rFonts w:eastAsia="Times New Roman" w:cs="Times New Roman"/>
          <w:sz w:val="22"/>
        </w:rPr>
        <w:t xml:space="preserve">Dickerson, C., Jarvis, J., &amp; Stockwell, L. (2016). Staff–student collaboration: student learning from working together to enhance educational practice in higher education. </w:t>
      </w:r>
      <w:r w:rsidRPr="0043571A">
        <w:rPr>
          <w:rFonts w:eastAsia="Times New Roman" w:cs="Times New Roman"/>
          <w:i/>
          <w:iCs/>
          <w:sz w:val="22"/>
        </w:rPr>
        <w:t>Teaching in High</w:t>
      </w:r>
      <w:r w:rsidR="00B01503" w:rsidRPr="0043571A">
        <w:rPr>
          <w:rFonts w:eastAsia="Times New Roman" w:cs="Times New Roman"/>
          <w:i/>
          <w:iCs/>
          <w:sz w:val="22"/>
        </w:rPr>
        <w:t>er Education. 21</w:t>
      </w:r>
      <w:r w:rsidR="00B01503" w:rsidRPr="0043571A">
        <w:rPr>
          <w:rFonts w:eastAsia="Times New Roman" w:cs="Times New Roman"/>
          <w:sz w:val="22"/>
        </w:rPr>
        <w:t>(3)</w:t>
      </w:r>
      <w:r w:rsidR="00B01503" w:rsidRPr="0043571A">
        <w:rPr>
          <w:rFonts w:eastAsia="Times New Roman" w:cs="Times New Roman"/>
          <w:i/>
          <w:iCs/>
          <w:sz w:val="22"/>
        </w:rPr>
        <w:t xml:space="preserve">, </w:t>
      </w:r>
      <w:r w:rsidR="00B01503" w:rsidRPr="0043571A">
        <w:rPr>
          <w:rFonts w:eastAsia="Times New Roman" w:cs="Times New Roman"/>
          <w:sz w:val="22"/>
        </w:rPr>
        <w:t>249-265</w:t>
      </w:r>
      <w:r w:rsidR="007D1E2B" w:rsidRPr="0043571A">
        <w:rPr>
          <w:rFonts w:eastAsia="Times New Roman" w:cs="Times New Roman"/>
          <w:sz w:val="22"/>
        </w:rPr>
        <w:t>. doi:</w:t>
      </w:r>
      <w:r w:rsidR="007D1E2B" w:rsidRPr="0043571A">
        <w:rPr>
          <w:rFonts w:ascii="&amp;quot" w:eastAsia="Times New Roman" w:hAnsi="&amp;quot" w:cs="Times New Roman"/>
          <w:sz w:val="22"/>
          <w:lang w:bidi="fa-IR"/>
        </w:rPr>
        <w:t xml:space="preserve"> </w:t>
      </w:r>
      <w:r w:rsidRPr="0043571A">
        <w:rPr>
          <w:rFonts w:eastAsia="Times New Roman" w:cs="Times New Roman"/>
          <w:sz w:val="22"/>
        </w:rPr>
        <w:t>10.1080/13562517.2015.1136279.</w:t>
      </w:r>
    </w:p>
    <w:p w14:paraId="415EF86C" w14:textId="11E20CBE" w:rsidR="002B0EB1" w:rsidRPr="0043571A" w:rsidRDefault="002B0EB1" w:rsidP="00E4270D">
      <w:pPr>
        <w:autoSpaceDE w:val="0"/>
        <w:autoSpaceDN w:val="0"/>
        <w:adjustRightInd w:val="0"/>
        <w:spacing w:after="120" w:line="240" w:lineRule="auto"/>
        <w:ind w:left="567" w:hanging="567"/>
        <w:jc w:val="both"/>
        <w:rPr>
          <w:rFonts w:ascii="&amp;quot" w:eastAsia="Times New Roman" w:hAnsi="&amp;quot" w:cs="Times New Roman"/>
          <w:sz w:val="22"/>
          <w:lang w:bidi="fa-IR"/>
        </w:rPr>
      </w:pPr>
      <w:r w:rsidRPr="0043571A">
        <w:rPr>
          <w:rFonts w:eastAsia="Times New Roman" w:cs="Times New Roman"/>
          <w:sz w:val="22"/>
        </w:rPr>
        <w:t>Dobao, F. A. &amp; Blum, A. (2013). Collaborative writing in p</w:t>
      </w:r>
      <w:r w:rsidR="00237C67" w:rsidRPr="0043571A">
        <w:rPr>
          <w:rFonts w:eastAsia="Times New Roman" w:cs="Times New Roman"/>
          <w:sz w:val="22"/>
        </w:rPr>
        <w:t>airs and small groups: Learners'</w:t>
      </w:r>
      <w:r w:rsidRPr="0043571A">
        <w:rPr>
          <w:rFonts w:eastAsia="Times New Roman" w:cs="Times New Roman"/>
          <w:sz w:val="22"/>
        </w:rPr>
        <w:t xml:space="preserve"> attitudes and perceptions. </w:t>
      </w:r>
      <w:r w:rsidR="004F0887" w:rsidRPr="0043571A">
        <w:rPr>
          <w:rFonts w:eastAsia="Times New Roman" w:cs="Times New Roman"/>
          <w:i/>
          <w:iCs/>
          <w:sz w:val="22"/>
        </w:rPr>
        <w:t>System, 41</w:t>
      </w:r>
      <w:r w:rsidR="004F0887" w:rsidRPr="0043571A">
        <w:rPr>
          <w:rFonts w:eastAsia="Times New Roman" w:cs="Times New Roman"/>
          <w:sz w:val="22"/>
        </w:rPr>
        <w:t>(2)</w:t>
      </w:r>
      <w:r w:rsidRPr="0043571A">
        <w:rPr>
          <w:rFonts w:eastAsia="Times New Roman" w:cs="Times New Roman"/>
          <w:sz w:val="22"/>
        </w:rPr>
        <w:t>, 365-378.</w:t>
      </w:r>
      <w:r w:rsidR="007D1E2B" w:rsidRPr="0043571A">
        <w:rPr>
          <w:rFonts w:ascii="Arial" w:hAnsi="Arial" w:cs="Arial"/>
          <w:sz w:val="22"/>
        </w:rPr>
        <w:t xml:space="preserve"> </w:t>
      </w:r>
      <w:r w:rsidR="007D1E2B" w:rsidRPr="0043571A">
        <w:rPr>
          <w:rFonts w:eastAsia="Times New Roman" w:cs="Times New Roman"/>
          <w:sz w:val="22"/>
        </w:rPr>
        <w:t>doi: 10.5430/</w:t>
      </w:r>
      <w:r w:rsidR="005004D8" w:rsidRPr="0043571A">
        <w:rPr>
          <w:rFonts w:eastAsia="Times New Roman" w:cs="Times New Roman"/>
          <w:sz w:val="22"/>
        </w:rPr>
        <w:t>elr. v</w:t>
      </w:r>
      <w:r w:rsidR="007D1E2B" w:rsidRPr="0043571A">
        <w:rPr>
          <w:rFonts w:eastAsia="Times New Roman" w:cs="Times New Roman"/>
          <w:sz w:val="22"/>
        </w:rPr>
        <w:t>3n2p1</w:t>
      </w:r>
    </w:p>
    <w:p w14:paraId="736D12D6" w14:textId="77777777" w:rsidR="007D079E" w:rsidRPr="0043571A" w:rsidRDefault="005E5368" w:rsidP="00E4270D">
      <w:pPr>
        <w:autoSpaceDE w:val="0"/>
        <w:autoSpaceDN w:val="0"/>
        <w:adjustRightInd w:val="0"/>
        <w:spacing w:after="120" w:line="240" w:lineRule="auto"/>
        <w:ind w:left="567" w:hanging="567"/>
        <w:jc w:val="both"/>
        <w:rPr>
          <w:rFonts w:eastAsia="Calibri" w:cs="Times New Roman"/>
          <w:sz w:val="22"/>
        </w:rPr>
      </w:pPr>
      <w:r w:rsidRPr="00E4270D">
        <w:rPr>
          <w:rFonts w:eastAsia="Times New Roman" w:cs="Times New Roman"/>
          <w:sz w:val="22"/>
        </w:rPr>
        <w:t>Dunne</w:t>
      </w:r>
      <w:r w:rsidRPr="0043571A">
        <w:rPr>
          <w:rFonts w:eastAsia="Calibri" w:cs="Times New Roman"/>
          <w:sz w:val="22"/>
        </w:rPr>
        <w:t xml:space="preserve">, E. &amp; Owen, D. (2013). </w:t>
      </w:r>
      <w:r w:rsidRPr="0043571A">
        <w:rPr>
          <w:rFonts w:eastAsia="Calibri" w:cs="Times New Roman"/>
          <w:i/>
          <w:iCs/>
          <w:sz w:val="22"/>
        </w:rPr>
        <w:t>The student engagement handbook: Practice in higher education.</w:t>
      </w:r>
      <w:r w:rsidRPr="0043571A">
        <w:rPr>
          <w:rFonts w:eastAsia="Calibri" w:cs="Times New Roman"/>
          <w:sz w:val="22"/>
        </w:rPr>
        <w:t xml:space="preserve"> Bingley: Emerald.</w:t>
      </w:r>
    </w:p>
    <w:p w14:paraId="3A788026" w14:textId="77777777" w:rsidR="00247183" w:rsidRPr="0043571A" w:rsidRDefault="00247183"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Emily, F., Robert, E.,</w:t>
      </w:r>
      <w:r w:rsidR="00FF3737" w:rsidRPr="0043571A">
        <w:rPr>
          <w:rFonts w:eastAsia="Times New Roman" w:cs="Times New Roman"/>
          <w:sz w:val="22"/>
        </w:rPr>
        <w:t xml:space="preserve"> &amp; Michael, K. (2003).</w:t>
      </w:r>
      <w:r w:rsidRPr="0043571A">
        <w:rPr>
          <w:rFonts w:eastAsia="Times New Roman" w:cs="Times New Roman"/>
          <w:sz w:val="22"/>
        </w:rPr>
        <w:t xml:space="preserve"> The effect of ability groupin</w:t>
      </w:r>
      <w:r w:rsidR="00237C67" w:rsidRPr="0043571A">
        <w:rPr>
          <w:rFonts w:eastAsia="Times New Roman" w:cs="Times New Roman"/>
          <w:sz w:val="22"/>
        </w:rPr>
        <w:t>g on students’ achievements in science l</w:t>
      </w:r>
      <w:r w:rsidRPr="0043571A">
        <w:rPr>
          <w:rFonts w:eastAsia="Times New Roman" w:cs="Times New Roman"/>
          <w:sz w:val="22"/>
        </w:rPr>
        <w:t xml:space="preserve">aboratory work. </w:t>
      </w:r>
      <w:r w:rsidRPr="0043571A">
        <w:rPr>
          <w:rFonts w:eastAsia="Times New Roman" w:cs="Times New Roman"/>
          <w:i/>
          <w:iCs/>
          <w:sz w:val="22"/>
        </w:rPr>
        <w:t>Roeper Rev., 25</w:t>
      </w:r>
      <w:r w:rsidR="004F0887" w:rsidRPr="0043571A">
        <w:rPr>
          <w:rFonts w:eastAsia="Times New Roman" w:cs="Times New Roman"/>
          <w:sz w:val="22"/>
        </w:rPr>
        <w:t>(4),</w:t>
      </w:r>
      <w:r w:rsidRPr="0043571A">
        <w:rPr>
          <w:rFonts w:eastAsia="Times New Roman" w:cs="Times New Roman"/>
          <w:sz w:val="22"/>
        </w:rPr>
        <w:t xml:space="preserve"> 212-220.</w:t>
      </w:r>
    </w:p>
    <w:p w14:paraId="3BD8F491" w14:textId="77777777" w:rsidR="00AE5CEB" w:rsidRPr="0043571A" w:rsidRDefault="00AE5CEB" w:rsidP="00E4270D">
      <w:pPr>
        <w:autoSpaceDE w:val="0"/>
        <w:autoSpaceDN w:val="0"/>
        <w:adjustRightInd w:val="0"/>
        <w:spacing w:after="120" w:line="240" w:lineRule="auto"/>
        <w:ind w:left="567" w:hanging="567"/>
        <w:jc w:val="both"/>
        <w:rPr>
          <w:rFonts w:eastAsia="Times New Roman" w:cs="Times New Roman"/>
          <w:sz w:val="22"/>
          <w:lang w:bidi="fa-IR"/>
        </w:rPr>
      </w:pPr>
      <w:r w:rsidRPr="00E4270D">
        <w:rPr>
          <w:rFonts w:eastAsia="Times New Roman" w:cs="Times New Roman"/>
          <w:sz w:val="22"/>
        </w:rPr>
        <w:t>Healey</w:t>
      </w:r>
      <w:r w:rsidRPr="0043571A">
        <w:rPr>
          <w:rFonts w:eastAsia="Calibri" w:cs="Times New Roman"/>
          <w:sz w:val="22"/>
        </w:rPr>
        <w:t xml:space="preserve">, M., Flint, A., &amp; Harrington, K. (2014). </w:t>
      </w:r>
      <w:r w:rsidRPr="0043571A">
        <w:rPr>
          <w:rFonts w:eastAsia="Calibri" w:cs="Times New Roman"/>
          <w:i/>
          <w:iCs/>
          <w:sz w:val="22"/>
        </w:rPr>
        <w:t>Engagement through partnership: Students as partners in learning and teaching in higher education.</w:t>
      </w:r>
      <w:r w:rsidR="00A474B1" w:rsidRPr="0043571A">
        <w:rPr>
          <w:rFonts w:eastAsia="Calibri" w:cs="Times New Roman"/>
          <w:sz w:val="22"/>
        </w:rPr>
        <w:t xml:space="preserve"> York: HE Academy.</w:t>
      </w:r>
    </w:p>
    <w:p w14:paraId="0D2B3273" w14:textId="77777777" w:rsidR="0065429A" w:rsidRPr="0043571A" w:rsidRDefault="0065429A"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 xml:space="preserve">Healey, M., Solem, M., &amp; Pawson, E. (2010). Introduction. In: </w:t>
      </w:r>
      <w:r w:rsidR="00086646" w:rsidRPr="0043571A">
        <w:rPr>
          <w:rFonts w:eastAsia="Times New Roman" w:cs="Times New Roman"/>
          <w:sz w:val="22"/>
        </w:rPr>
        <w:t xml:space="preserve">M. </w:t>
      </w:r>
      <w:r w:rsidRPr="0043571A">
        <w:rPr>
          <w:rFonts w:eastAsia="Times New Roman" w:cs="Times New Roman"/>
          <w:sz w:val="22"/>
        </w:rPr>
        <w:t xml:space="preserve">Healey, </w:t>
      </w:r>
      <w:r w:rsidR="00086646" w:rsidRPr="0043571A">
        <w:rPr>
          <w:rFonts w:eastAsia="Times New Roman" w:cs="Times New Roman"/>
          <w:sz w:val="22"/>
        </w:rPr>
        <w:t>E.</w:t>
      </w:r>
      <w:r w:rsidRPr="0043571A">
        <w:rPr>
          <w:rFonts w:eastAsia="Times New Roman" w:cs="Times New Roman"/>
          <w:sz w:val="22"/>
        </w:rPr>
        <w:t xml:space="preserve"> Pawson, &amp; </w:t>
      </w:r>
      <w:r w:rsidR="00086646" w:rsidRPr="0043571A">
        <w:rPr>
          <w:rFonts w:eastAsia="Times New Roman" w:cs="Times New Roman"/>
          <w:sz w:val="22"/>
        </w:rPr>
        <w:t xml:space="preserve">M. </w:t>
      </w:r>
      <w:r w:rsidRPr="0043571A">
        <w:rPr>
          <w:rFonts w:eastAsia="Times New Roman" w:cs="Times New Roman"/>
          <w:sz w:val="22"/>
        </w:rPr>
        <w:t>Solem (Eds</w:t>
      </w:r>
      <w:r w:rsidR="00674C35">
        <w:rPr>
          <w:rFonts w:eastAsia="Times New Roman" w:cs="Times New Roman"/>
          <w:sz w:val="22"/>
        </w:rPr>
        <w:t>.</w:t>
      </w:r>
      <w:r w:rsidRPr="0043571A">
        <w:rPr>
          <w:rFonts w:eastAsia="Times New Roman" w:cs="Times New Roman"/>
          <w:sz w:val="22"/>
        </w:rPr>
        <w:t>),</w:t>
      </w:r>
      <w:r w:rsidRPr="0043571A">
        <w:rPr>
          <w:rFonts w:eastAsia="Times New Roman" w:cs="Times New Roman"/>
          <w:i/>
          <w:iCs/>
          <w:sz w:val="22"/>
        </w:rPr>
        <w:t xml:space="preserve"> Active learning and student engagement: International perspectives and practices in geography in higher education</w:t>
      </w:r>
      <w:r w:rsidR="00A474B1" w:rsidRPr="0043571A">
        <w:rPr>
          <w:rFonts w:eastAsia="Times New Roman" w:cs="Times New Roman"/>
          <w:sz w:val="22"/>
        </w:rPr>
        <w:t xml:space="preserve"> (pp. 1-7). London: Routledge.</w:t>
      </w:r>
    </w:p>
    <w:p w14:paraId="4D3B1C1A" w14:textId="77777777" w:rsidR="005E5368" w:rsidRPr="0043571A" w:rsidRDefault="005E5368" w:rsidP="00E4270D">
      <w:pPr>
        <w:autoSpaceDE w:val="0"/>
        <w:autoSpaceDN w:val="0"/>
        <w:adjustRightInd w:val="0"/>
        <w:spacing w:after="120" w:line="240" w:lineRule="auto"/>
        <w:ind w:left="567" w:hanging="567"/>
        <w:jc w:val="both"/>
        <w:rPr>
          <w:rFonts w:eastAsia="Calibri" w:cs="Times New Roman"/>
          <w:sz w:val="22"/>
        </w:rPr>
      </w:pPr>
      <w:r w:rsidRPr="00E4270D">
        <w:rPr>
          <w:rFonts w:eastAsia="Times New Roman" w:cs="Times New Roman"/>
          <w:sz w:val="22"/>
        </w:rPr>
        <w:lastRenderedPageBreak/>
        <w:t>Higher</w:t>
      </w:r>
      <w:r w:rsidRPr="0043571A">
        <w:rPr>
          <w:rFonts w:eastAsia="Calibri" w:cs="Times New Roman"/>
          <w:sz w:val="22"/>
        </w:rPr>
        <w:t xml:space="preserve"> Education Academy. (2015). </w:t>
      </w:r>
      <w:r w:rsidRPr="0043571A">
        <w:rPr>
          <w:rFonts w:eastAsia="Calibri" w:cs="Times New Roman"/>
          <w:i/>
          <w:iCs/>
          <w:sz w:val="22"/>
        </w:rPr>
        <w:t>Framework for student engagement through partnership.</w:t>
      </w:r>
      <w:r w:rsidRPr="0043571A">
        <w:rPr>
          <w:rFonts w:eastAsia="Calibri" w:cs="Times New Roman"/>
          <w:sz w:val="22"/>
        </w:rPr>
        <w:t xml:space="preserve"> York: HE Academy.</w:t>
      </w:r>
    </w:p>
    <w:p w14:paraId="6FB1DF5E" w14:textId="77777777" w:rsidR="00812AE3" w:rsidRPr="0043571A" w:rsidRDefault="00812AE3" w:rsidP="00E4270D">
      <w:pPr>
        <w:autoSpaceDE w:val="0"/>
        <w:autoSpaceDN w:val="0"/>
        <w:adjustRightInd w:val="0"/>
        <w:spacing w:after="120" w:line="240" w:lineRule="auto"/>
        <w:ind w:left="567" w:hanging="567"/>
        <w:jc w:val="both"/>
        <w:rPr>
          <w:rFonts w:asciiTheme="majorBidi" w:hAnsiTheme="majorBidi" w:cstheme="majorBidi"/>
          <w:sz w:val="22"/>
        </w:rPr>
      </w:pPr>
      <w:r w:rsidRPr="00E4270D">
        <w:rPr>
          <w:rFonts w:eastAsia="Times New Roman" w:cs="Times New Roman"/>
          <w:sz w:val="22"/>
        </w:rPr>
        <w:t>Huang</w:t>
      </w:r>
      <w:r w:rsidRPr="0043571A">
        <w:rPr>
          <w:rFonts w:asciiTheme="majorBidi" w:eastAsia="Times New Roman" w:hAnsiTheme="majorBidi" w:cstheme="majorBidi"/>
          <w:sz w:val="22"/>
        </w:rPr>
        <w:t xml:space="preserve">, M. H. </w:t>
      </w:r>
      <w:r w:rsidRPr="0043571A">
        <w:rPr>
          <w:rFonts w:asciiTheme="majorBidi" w:eastAsia="Times New Roman" w:hAnsiTheme="majorBidi" w:cstheme="majorBidi"/>
          <w:sz w:val="22"/>
          <w:lang w:val="en"/>
        </w:rPr>
        <w:t xml:space="preserve">(2009). Classroom homogeneity and the distribution of student math performance: A country-level fixed-effects analysis. </w:t>
      </w:r>
      <w:hyperlink r:id="rId16" w:tooltip="Go to Social Science Research on ScienceDirect" w:history="1">
        <w:r w:rsidRPr="0043571A">
          <w:rPr>
            <w:rFonts w:asciiTheme="majorBidi" w:eastAsia="Times New Roman" w:hAnsiTheme="majorBidi" w:cstheme="majorBidi"/>
            <w:i/>
            <w:iCs/>
            <w:sz w:val="22"/>
            <w:lang w:val="en"/>
          </w:rPr>
          <w:t>Social Science Research</w:t>
        </w:r>
      </w:hyperlink>
      <w:r w:rsidR="00201FCC" w:rsidRPr="0043571A">
        <w:rPr>
          <w:rFonts w:asciiTheme="majorBidi" w:eastAsia="Times New Roman" w:hAnsiTheme="majorBidi" w:cstheme="majorBidi"/>
          <w:i/>
          <w:iCs/>
          <w:sz w:val="22"/>
          <w:lang w:val="en"/>
        </w:rPr>
        <w:t>,</w:t>
      </w:r>
      <w:r w:rsidRPr="0043571A">
        <w:rPr>
          <w:rFonts w:asciiTheme="majorBidi" w:eastAsia="Times New Roman" w:hAnsiTheme="majorBidi" w:cstheme="majorBidi"/>
          <w:sz w:val="22"/>
          <w:lang w:val="en"/>
        </w:rPr>
        <w:t xml:space="preserve"> </w:t>
      </w:r>
      <w:hyperlink r:id="rId17" w:tooltip="Go to table of contents for this volume/issue" w:history="1">
        <w:r w:rsidRPr="0043571A">
          <w:rPr>
            <w:rFonts w:asciiTheme="majorBidi" w:eastAsia="Times New Roman" w:hAnsiTheme="majorBidi" w:cstheme="majorBidi"/>
            <w:sz w:val="22"/>
            <w:lang w:val="en"/>
          </w:rPr>
          <w:t xml:space="preserve"> </w:t>
        </w:r>
        <w:r w:rsidRPr="0043571A">
          <w:rPr>
            <w:rFonts w:asciiTheme="majorBidi" w:eastAsia="Times New Roman" w:hAnsiTheme="majorBidi" w:cstheme="majorBidi"/>
            <w:i/>
            <w:iCs/>
            <w:sz w:val="22"/>
            <w:lang w:val="en"/>
          </w:rPr>
          <w:t>38</w:t>
        </w:r>
        <w:r w:rsidRPr="0043571A">
          <w:rPr>
            <w:rFonts w:asciiTheme="majorBidi" w:eastAsia="Times New Roman" w:hAnsiTheme="majorBidi" w:cstheme="majorBidi"/>
            <w:sz w:val="22"/>
            <w:lang w:val="en"/>
          </w:rPr>
          <w:t>(</w:t>
        </w:r>
        <w:r w:rsidR="00201FCC" w:rsidRPr="0043571A">
          <w:rPr>
            <w:rFonts w:asciiTheme="majorBidi" w:eastAsia="Times New Roman" w:hAnsiTheme="majorBidi" w:cstheme="majorBidi"/>
            <w:sz w:val="22"/>
            <w:lang w:val="en"/>
          </w:rPr>
          <w:t>4</w:t>
        </w:r>
      </w:hyperlink>
      <w:r w:rsidRPr="0043571A">
        <w:rPr>
          <w:rFonts w:asciiTheme="majorBidi" w:eastAsia="Times New Roman" w:hAnsiTheme="majorBidi" w:cstheme="majorBidi"/>
          <w:sz w:val="22"/>
          <w:lang w:val="en"/>
        </w:rPr>
        <w:t>), 781-79</w:t>
      </w:r>
      <w:r w:rsidR="00201FCC" w:rsidRPr="0043571A">
        <w:rPr>
          <w:rFonts w:asciiTheme="majorBidi" w:eastAsia="Times New Roman" w:hAnsiTheme="majorBidi" w:cstheme="majorBidi"/>
          <w:sz w:val="22"/>
          <w:lang w:val="en"/>
        </w:rPr>
        <w:t>1</w:t>
      </w:r>
      <w:r w:rsidRPr="0043571A">
        <w:rPr>
          <w:rFonts w:asciiTheme="majorBidi" w:eastAsia="Times New Roman" w:hAnsiTheme="majorBidi" w:cstheme="majorBidi"/>
          <w:sz w:val="22"/>
          <w:lang w:val="en"/>
        </w:rPr>
        <w:t>.</w:t>
      </w:r>
      <w:r w:rsidRPr="0043571A">
        <w:rPr>
          <w:rFonts w:asciiTheme="majorBidi" w:hAnsiTheme="majorBidi" w:cstheme="majorBidi"/>
          <w:sz w:val="22"/>
        </w:rPr>
        <w:t xml:space="preserve"> </w:t>
      </w:r>
      <w:hyperlink r:id="rId18" w:tgtFrame="_blank" w:tooltip="Persistent link using digital object identifier" w:history="1">
        <w:r w:rsidRPr="0043571A">
          <w:rPr>
            <w:rFonts w:asciiTheme="majorBidi" w:hAnsiTheme="majorBidi" w:cstheme="majorBidi"/>
            <w:sz w:val="22"/>
          </w:rPr>
          <w:t>doi: 10.1016/j.ssresearch.2009.05.001</w:t>
        </w:r>
      </w:hyperlink>
    </w:p>
    <w:p w14:paraId="15D315C2" w14:textId="1A837919" w:rsidR="002B0EB1" w:rsidRPr="0043571A" w:rsidRDefault="002B0EB1" w:rsidP="00CE34DD">
      <w:pPr>
        <w:autoSpaceDE w:val="0"/>
        <w:autoSpaceDN w:val="0"/>
        <w:adjustRightInd w:val="0"/>
        <w:spacing w:after="120" w:line="240" w:lineRule="auto"/>
        <w:ind w:left="567" w:hanging="567"/>
        <w:jc w:val="both"/>
        <w:rPr>
          <w:rFonts w:eastAsia="Times New Roman" w:cs="Times New Roman"/>
          <w:sz w:val="22"/>
        </w:rPr>
      </w:pPr>
      <w:r w:rsidRPr="005755DD">
        <w:rPr>
          <w:rFonts w:eastAsia="Times New Roman" w:cs="Times New Roman"/>
          <w:sz w:val="22"/>
        </w:rPr>
        <w:t>Jarvis, J</w:t>
      </w:r>
      <w:r w:rsidR="0092329B" w:rsidRPr="005755DD">
        <w:rPr>
          <w:rFonts w:eastAsia="Times New Roman" w:cs="Times New Roman"/>
          <w:sz w:val="22"/>
        </w:rPr>
        <w:t>.</w:t>
      </w:r>
      <w:r w:rsidRPr="005755DD">
        <w:rPr>
          <w:rFonts w:eastAsia="Times New Roman" w:cs="Times New Roman"/>
          <w:sz w:val="22"/>
        </w:rPr>
        <w:t>, Dickerson, C</w:t>
      </w:r>
      <w:r w:rsidR="0092329B" w:rsidRPr="005755DD">
        <w:rPr>
          <w:rFonts w:eastAsia="Times New Roman" w:cs="Times New Roman"/>
          <w:sz w:val="22"/>
        </w:rPr>
        <w:t>.</w:t>
      </w:r>
      <w:r w:rsidR="007908A0" w:rsidRPr="005755DD">
        <w:rPr>
          <w:rFonts w:eastAsia="Times New Roman" w:cs="Times New Roman"/>
          <w:sz w:val="22"/>
        </w:rPr>
        <w:t>,</w:t>
      </w:r>
      <w:r w:rsidRPr="005755DD">
        <w:rPr>
          <w:rFonts w:eastAsia="Times New Roman" w:cs="Times New Roman"/>
          <w:sz w:val="22"/>
        </w:rPr>
        <w:t xml:space="preserve"> &amp; Stockwell, L. (2013). Staff-student partnership in practice in Higher Education: The impact on learning and teaching. In </w:t>
      </w:r>
      <w:r w:rsidRPr="005755DD">
        <w:rPr>
          <w:rFonts w:eastAsia="Times New Roman" w:cs="Times New Roman"/>
          <w:i/>
          <w:iCs/>
          <w:sz w:val="22"/>
        </w:rPr>
        <w:t>Procedia. Social and Behavioral Sciences</w:t>
      </w:r>
      <w:r w:rsidR="006F4D36" w:rsidRPr="005755DD">
        <w:rPr>
          <w:rFonts w:eastAsia="Times New Roman" w:cs="Times New Roman"/>
          <w:i/>
          <w:iCs/>
          <w:sz w:val="22"/>
        </w:rPr>
        <w:t>,</w:t>
      </w:r>
      <w:r w:rsidRPr="005755DD">
        <w:rPr>
          <w:rFonts w:eastAsia="Times New Roman" w:cs="Times New Roman"/>
          <w:i/>
          <w:iCs/>
          <w:sz w:val="22"/>
        </w:rPr>
        <w:t xml:space="preserve"> 90, </w:t>
      </w:r>
      <w:r w:rsidR="00A474B1" w:rsidRPr="005755DD">
        <w:rPr>
          <w:rFonts w:eastAsia="Times New Roman" w:cs="Times New Roman"/>
          <w:sz w:val="22"/>
        </w:rPr>
        <w:t>220-225.</w:t>
      </w:r>
      <w:r w:rsidR="00CE34DD" w:rsidRPr="00CE34DD">
        <w:t xml:space="preserve"> </w:t>
      </w:r>
      <w:r w:rsidR="00CE34DD">
        <w:rPr>
          <w:rFonts w:eastAsia="Times New Roman" w:cs="Times New Roman"/>
          <w:sz w:val="22"/>
        </w:rPr>
        <w:t xml:space="preserve">doi: </w:t>
      </w:r>
      <w:r w:rsidR="00CE34DD" w:rsidRPr="00CE34DD">
        <w:rPr>
          <w:rFonts w:eastAsia="Times New Roman" w:cs="Times New Roman"/>
          <w:sz w:val="22"/>
        </w:rPr>
        <w:t>10.1016/j.sbspro.2013.07.085</w:t>
      </w:r>
    </w:p>
    <w:p w14:paraId="5DF669A6" w14:textId="77777777" w:rsidR="00350962" w:rsidRPr="0043571A" w:rsidRDefault="002B0EB1"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 xml:space="preserve">Jenkins, A., &amp; Healey, M. (2015). International perspectives on strategies to support faculty who teach students via research and inquiry. </w:t>
      </w:r>
      <w:r w:rsidR="00DF698C" w:rsidRPr="0043571A">
        <w:rPr>
          <w:rFonts w:eastAsia="Times New Roman" w:cs="Times New Roman"/>
          <w:i/>
          <w:iCs/>
          <w:sz w:val="22"/>
        </w:rPr>
        <w:t>CUR Quarterly, 35</w:t>
      </w:r>
      <w:r w:rsidRPr="00D023BA">
        <w:rPr>
          <w:rFonts w:eastAsia="Times New Roman" w:cs="Times New Roman"/>
          <w:sz w:val="22"/>
        </w:rPr>
        <w:t>(3),</w:t>
      </w:r>
      <w:r w:rsidRPr="0043571A">
        <w:rPr>
          <w:rFonts w:eastAsia="Times New Roman" w:cs="Times New Roman"/>
          <w:sz w:val="22"/>
        </w:rPr>
        <w:t xml:space="preserve"> 31-37.</w:t>
      </w:r>
      <w:r w:rsidR="00BF2554" w:rsidRPr="0043571A">
        <w:rPr>
          <w:rFonts w:eastAsia="Times New Roman" w:cs="Times New Roman"/>
          <w:sz w:val="22"/>
        </w:rPr>
        <w:t xml:space="preserve"> Retrieved from: http://www</w:t>
      </w:r>
      <w:r w:rsidR="00A474B1" w:rsidRPr="0043571A">
        <w:rPr>
          <w:rFonts w:eastAsia="Times New Roman" w:cs="Times New Roman"/>
          <w:sz w:val="22"/>
        </w:rPr>
        <w:t>.cur.org/download.aspx?id=3147</w:t>
      </w:r>
    </w:p>
    <w:p w14:paraId="513FEBA8" w14:textId="52E60EB1" w:rsidR="007B7F61" w:rsidRPr="0043571A" w:rsidRDefault="00945B9C" w:rsidP="00C22422">
      <w:pPr>
        <w:autoSpaceDE w:val="0"/>
        <w:autoSpaceDN w:val="0"/>
        <w:adjustRightInd w:val="0"/>
        <w:spacing w:after="120" w:line="240" w:lineRule="auto"/>
        <w:ind w:left="567" w:hanging="567"/>
        <w:jc w:val="both"/>
        <w:rPr>
          <w:rFonts w:eastAsia="Times New Roman" w:cs="Times New Roman"/>
          <w:sz w:val="22"/>
        </w:rPr>
      </w:pPr>
      <w:r w:rsidRPr="00D023BA">
        <w:rPr>
          <w:rFonts w:eastAsia="Times New Roman" w:cs="Times New Roman"/>
          <w:sz w:val="22"/>
        </w:rPr>
        <w:t>Johnson</w:t>
      </w:r>
      <w:r w:rsidRPr="00D023BA">
        <w:rPr>
          <w:rFonts w:eastAsia="Times New Roman" w:cs="Times New Roman"/>
          <w:sz w:val="22"/>
          <w:lang w:val="en"/>
        </w:rPr>
        <w:t>, E. (2013).</w:t>
      </w:r>
      <w:r w:rsidRPr="00D023BA">
        <w:rPr>
          <w:rFonts w:eastAsia="Times New Roman" w:cs="Times New Roman"/>
          <w:i/>
          <w:iCs/>
          <w:sz w:val="22"/>
          <w:lang w:val="en"/>
        </w:rPr>
        <w:t xml:space="preserve"> </w:t>
      </w:r>
      <w:r w:rsidR="007B7F61" w:rsidRPr="00D023BA">
        <w:rPr>
          <w:rFonts w:eastAsia="Times New Roman" w:cs="Times New Roman"/>
          <w:i/>
          <w:iCs/>
          <w:sz w:val="22"/>
        </w:rPr>
        <w:t>Student centered c</w:t>
      </w:r>
      <w:r w:rsidR="00F26796" w:rsidRPr="00D023BA">
        <w:rPr>
          <w:rFonts w:eastAsia="Times New Roman" w:cs="Times New Roman"/>
          <w:i/>
          <w:iCs/>
          <w:sz w:val="22"/>
        </w:rPr>
        <w:t>lassroom</w:t>
      </w:r>
      <w:r w:rsidR="005755DD" w:rsidRPr="00D023BA">
        <w:rPr>
          <w:rFonts w:eastAsia="Times New Roman" w:cs="Times New Roman"/>
          <w:i/>
          <w:iCs/>
          <w:sz w:val="22"/>
        </w:rPr>
        <w:t xml:space="preserve"> Handbook</w:t>
      </w:r>
      <w:r w:rsidR="00C22422">
        <w:rPr>
          <w:rFonts w:eastAsia="Times New Roman" w:cs="Times New Roman"/>
          <w:i/>
          <w:iCs/>
          <w:sz w:val="22"/>
        </w:rPr>
        <w:t>: The s</w:t>
      </w:r>
      <w:r w:rsidR="00715BE7" w:rsidRPr="00D023BA">
        <w:rPr>
          <w:rFonts w:eastAsia="Times New Roman" w:cs="Times New Roman"/>
          <w:i/>
          <w:iCs/>
          <w:sz w:val="22"/>
        </w:rPr>
        <w:t>ocial studies and h</w:t>
      </w:r>
      <w:r w:rsidR="007B7F61" w:rsidRPr="00D023BA">
        <w:rPr>
          <w:rFonts w:eastAsia="Times New Roman" w:cs="Times New Roman"/>
          <w:i/>
          <w:iCs/>
          <w:sz w:val="22"/>
        </w:rPr>
        <w:t>istory</w:t>
      </w:r>
      <w:r w:rsidR="007B7F61" w:rsidRPr="00D023BA">
        <w:rPr>
          <w:rFonts w:eastAsia="Times New Roman" w:cs="Times New Roman"/>
          <w:sz w:val="22"/>
        </w:rPr>
        <w:t>. Routledge.</w:t>
      </w:r>
      <w:r w:rsidR="005755DD" w:rsidRPr="00D023BA">
        <w:t xml:space="preserve"> </w:t>
      </w:r>
      <w:hyperlink r:id="rId19" w:history="1">
        <w:r w:rsidR="005755DD" w:rsidRPr="00D023BA">
          <w:rPr>
            <w:rStyle w:val="Hyperlink"/>
            <w:rFonts w:eastAsia="Times New Roman" w:cs="Times New Roman"/>
            <w:color w:val="auto"/>
            <w:sz w:val="22"/>
            <w:u w:val="none"/>
          </w:rPr>
          <w:t>doi</w:t>
        </w:r>
      </w:hyperlink>
      <w:r w:rsidR="005755DD" w:rsidRPr="00D023BA">
        <w:rPr>
          <w:rFonts w:eastAsia="Times New Roman" w:cs="Times New Roman"/>
          <w:sz w:val="22"/>
        </w:rPr>
        <w:t>: 10.4324/9781315852706</w:t>
      </w:r>
    </w:p>
    <w:p w14:paraId="1C406A85" w14:textId="6D8758F9" w:rsidR="002B0EB1" w:rsidRPr="0043571A" w:rsidRDefault="00350962"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 xml:space="preserve">Khazaeenezhad, Barati1, &amp; Jafarzade (2012). Ability </w:t>
      </w:r>
      <w:r w:rsidR="00270331" w:rsidRPr="0043571A">
        <w:rPr>
          <w:rFonts w:eastAsia="Times New Roman" w:cs="Times New Roman"/>
          <w:sz w:val="22"/>
        </w:rPr>
        <w:t>g</w:t>
      </w:r>
      <w:r w:rsidRPr="0043571A">
        <w:rPr>
          <w:rFonts w:eastAsia="Times New Roman" w:cs="Times New Roman"/>
          <w:sz w:val="22"/>
        </w:rPr>
        <w:t xml:space="preserve">rouping as a </w:t>
      </w:r>
      <w:r w:rsidR="00270331" w:rsidRPr="0043571A">
        <w:rPr>
          <w:rFonts w:eastAsia="Times New Roman" w:cs="Times New Roman"/>
          <w:sz w:val="22"/>
        </w:rPr>
        <w:t>w</w:t>
      </w:r>
      <w:r w:rsidRPr="0043571A">
        <w:rPr>
          <w:rFonts w:eastAsia="Times New Roman" w:cs="Times New Roman"/>
          <w:sz w:val="22"/>
        </w:rPr>
        <w:t xml:space="preserve">ay towards </w:t>
      </w:r>
      <w:r w:rsidR="00270331" w:rsidRPr="0043571A">
        <w:rPr>
          <w:rFonts w:eastAsia="Times New Roman" w:cs="Times New Roman"/>
          <w:sz w:val="22"/>
        </w:rPr>
        <w:t>m</w:t>
      </w:r>
      <w:r w:rsidRPr="0043571A">
        <w:rPr>
          <w:rFonts w:eastAsia="Times New Roman" w:cs="Times New Roman"/>
          <w:sz w:val="22"/>
        </w:rPr>
        <w:t xml:space="preserve">ore </w:t>
      </w:r>
      <w:r w:rsidR="00270331" w:rsidRPr="0043571A">
        <w:rPr>
          <w:rFonts w:eastAsia="Times New Roman" w:cs="Times New Roman"/>
          <w:sz w:val="22"/>
        </w:rPr>
        <w:t>a</w:t>
      </w:r>
      <w:r w:rsidRPr="0043571A">
        <w:rPr>
          <w:rFonts w:eastAsia="Times New Roman" w:cs="Times New Roman"/>
          <w:sz w:val="22"/>
        </w:rPr>
        <w:t xml:space="preserve">cademic </w:t>
      </w:r>
      <w:r w:rsidR="00270331" w:rsidRPr="0043571A">
        <w:rPr>
          <w:rFonts w:eastAsia="Times New Roman" w:cs="Times New Roman"/>
          <w:sz w:val="22"/>
        </w:rPr>
        <w:t>s</w:t>
      </w:r>
      <w:r w:rsidRPr="0043571A">
        <w:rPr>
          <w:rFonts w:eastAsia="Times New Roman" w:cs="Times New Roman"/>
          <w:sz w:val="22"/>
        </w:rPr>
        <w:t xml:space="preserve">uccess in </w:t>
      </w:r>
      <w:r w:rsidR="00270331" w:rsidRPr="0043571A">
        <w:rPr>
          <w:rFonts w:eastAsia="Times New Roman" w:cs="Times New Roman"/>
          <w:sz w:val="22"/>
        </w:rPr>
        <w:t>t</w:t>
      </w:r>
      <w:r w:rsidRPr="0043571A">
        <w:rPr>
          <w:rFonts w:eastAsia="Times New Roman" w:cs="Times New Roman"/>
          <w:sz w:val="22"/>
        </w:rPr>
        <w:t xml:space="preserve">eaching EFL - A </w:t>
      </w:r>
      <w:r w:rsidR="00270331" w:rsidRPr="0043571A">
        <w:rPr>
          <w:rFonts w:eastAsia="Times New Roman" w:cs="Times New Roman"/>
          <w:sz w:val="22"/>
        </w:rPr>
        <w:t>c</w:t>
      </w:r>
      <w:r w:rsidRPr="0043571A">
        <w:rPr>
          <w:rFonts w:eastAsia="Times New Roman" w:cs="Times New Roman"/>
          <w:sz w:val="22"/>
        </w:rPr>
        <w:t xml:space="preserve">ase of Iranian </w:t>
      </w:r>
      <w:r w:rsidR="00270331" w:rsidRPr="0043571A">
        <w:rPr>
          <w:rFonts w:eastAsia="Times New Roman" w:cs="Times New Roman"/>
          <w:sz w:val="22"/>
        </w:rPr>
        <w:t>u</w:t>
      </w:r>
      <w:r w:rsidRPr="0043571A">
        <w:rPr>
          <w:rFonts w:eastAsia="Times New Roman" w:cs="Times New Roman"/>
          <w:sz w:val="22"/>
        </w:rPr>
        <w:t xml:space="preserve">ndergraduates. </w:t>
      </w:r>
      <w:r w:rsidRPr="0043571A">
        <w:rPr>
          <w:rFonts w:eastAsia="Times New Roman" w:cs="Times New Roman"/>
          <w:i/>
          <w:iCs/>
          <w:sz w:val="22"/>
        </w:rPr>
        <w:t>English Language Teaching</w:t>
      </w:r>
      <w:r w:rsidR="00715BE7" w:rsidRPr="0043571A">
        <w:rPr>
          <w:rFonts w:eastAsia="Times New Roman" w:cs="Times New Roman"/>
          <w:sz w:val="22"/>
        </w:rPr>
        <w:t>,</w:t>
      </w:r>
      <w:r w:rsidRPr="0043571A">
        <w:rPr>
          <w:rFonts w:eastAsia="Times New Roman" w:cs="Times New Roman"/>
          <w:sz w:val="22"/>
        </w:rPr>
        <w:t xml:space="preserve"> </w:t>
      </w:r>
      <w:r w:rsidRPr="0043571A">
        <w:rPr>
          <w:rFonts w:eastAsia="Times New Roman" w:cs="Times New Roman"/>
          <w:i/>
          <w:iCs/>
          <w:sz w:val="22"/>
        </w:rPr>
        <w:t>5</w:t>
      </w:r>
      <w:r w:rsidR="000C1B07" w:rsidRPr="0043571A">
        <w:rPr>
          <w:rFonts w:eastAsia="Times New Roman" w:cs="Times New Roman"/>
          <w:sz w:val="22"/>
        </w:rPr>
        <w:t>(</w:t>
      </w:r>
      <w:r w:rsidRPr="0043571A">
        <w:rPr>
          <w:rFonts w:eastAsia="Times New Roman" w:cs="Times New Roman"/>
          <w:sz w:val="22"/>
        </w:rPr>
        <w:t>7</w:t>
      </w:r>
      <w:r w:rsidR="000C1B07" w:rsidRPr="0043571A">
        <w:rPr>
          <w:rFonts w:eastAsia="Times New Roman" w:cs="Times New Roman"/>
          <w:sz w:val="22"/>
        </w:rPr>
        <w:t>)</w:t>
      </w:r>
      <w:r w:rsidRPr="0043571A">
        <w:rPr>
          <w:rFonts w:eastAsia="Times New Roman" w:cs="Times New Roman"/>
          <w:sz w:val="22"/>
        </w:rPr>
        <w:t>, 81-89.</w:t>
      </w:r>
      <w:r w:rsidR="005004D8">
        <w:rPr>
          <w:rFonts w:eastAsia="Times New Roman" w:cs="Times New Roman"/>
          <w:sz w:val="22"/>
        </w:rPr>
        <w:t xml:space="preserve"> </w:t>
      </w:r>
      <w:r w:rsidR="007B42FB" w:rsidRPr="0043571A">
        <w:rPr>
          <w:rFonts w:eastAsia="Times New Roman" w:cs="Times New Roman"/>
          <w:sz w:val="22"/>
        </w:rPr>
        <w:t>Retrieved from: https://eric.ed.gov/?id=EJ1079647</w:t>
      </w:r>
    </w:p>
    <w:p w14:paraId="6E4325AA" w14:textId="77777777" w:rsidR="00CE67DA" w:rsidRPr="0043571A" w:rsidRDefault="00CE67DA" w:rsidP="00E4270D">
      <w:pPr>
        <w:autoSpaceDE w:val="0"/>
        <w:autoSpaceDN w:val="0"/>
        <w:adjustRightInd w:val="0"/>
        <w:spacing w:after="120" w:line="240" w:lineRule="auto"/>
        <w:ind w:left="567" w:hanging="567"/>
        <w:jc w:val="both"/>
        <w:rPr>
          <w:rFonts w:eastAsia="Calibri" w:cs="Times New Roman"/>
          <w:sz w:val="22"/>
        </w:rPr>
      </w:pPr>
      <w:r w:rsidRPr="00E4270D">
        <w:rPr>
          <w:rFonts w:eastAsia="Times New Roman" w:cs="Times New Roman"/>
          <w:sz w:val="22"/>
        </w:rPr>
        <w:t>Kolb</w:t>
      </w:r>
      <w:r w:rsidRPr="0043571A">
        <w:rPr>
          <w:rFonts w:eastAsia="Calibri" w:cs="Times New Roman"/>
          <w:sz w:val="22"/>
        </w:rPr>
        <w:t>, D.</w:t>
      </w:r>
      <w:r w:rsidR="003B3CFB" w:rsidRPr="0043571A">
        <w:rPr>
          <w:rFonts w:eastAsia="Calibri" w:cs="Times New Roman"/>
          <w:sz w:val="22"/>
        </w:rPr>
        <w:t xml:space="preserve"> </w:t>
      </w:r>
      <w:r w:rsidRPr="0043571A">
        <w:rPr>
          <w:rFonts w:eastAsia="Calibri" w:cs="Times New Roman"/>
          <w:sz w:val="22"/>
        </w:rPr>
        <w:t xml:space="preserve">A. (1984). </w:t>
      </w:r>
      <w:r w:rsidRPr="0043571A">
        <w:rPr>
          <w:rFonts w:eastAsia="Calibri" w:cs="Times New Roman"/>
          <w:i/>
          <w:iCs/>
          <w:sz w:val="22"/>
        </w:rPr>
        <w:t>Experiential learning: Experience as the source of learning and development</w:t>
      </w:r>
      <w:r w:rsidR="003B3CFB" w:rsidRPr="0043571A">
        <w:rPr>
          <w:rFonts w:eastAsia="Calibri" w:cs="Times New Roman"/>
          <w:sz w:val="22"/>
        </w:rPr>
        <w:t>. Englewood Cliffs.</w:t>
      </w:r>
      <w:r w:rsidRPr="0043571A">
        <w:rPr>
          <w:rFonts w:eastAsia="Calibri" w:cs="Times New Roman"/>
          <w:sz w:val="22"/>
        </w:rPr>
        <w:t xml:space="preserve"> N.</w:t>
      </w:r>
      <w:r w:rsidR="003B3CFB" w:rsidRPr="0043571A">
        <w:rPr>
          <w:rFonts w:eastAsia="Calibri" w:cs="Times New Roman"/>
          <w:sz w:val="22"/>
        </w:rPr>
        <w:t xml:space="preserve"> J.,</w:t>
      </w:r>
      <w:r w:rsidRPr="0043571A">
        <w:rPr>
          <w:rFonts w:eastAsia="Calibri" w:cs="Times New Roman"/>
          <w:sz w:val="22"/>
        </w:rPr>
        <w:t xml:space="preserve"> Prentice-Hall.</w:t>
      </w:r>
    </w:p>
    <w:p w14:paraId="2108D130" w14:textId="5C65C9AF" w:rsidR="00D653EF" w:rsidRPr="0043571A" w:rsidRDefault="00D653EF" w:rsidP="00E4270D">
      <w:pPr>
        <w:autoSpaceDE w:val="0"/>
        <w:autoSpaceDN w:val="0"/>
        <w:adjustRightInd w:val="0"/>
        <w:spacing w:after="120" w:line="240" w:lineRule="auto"/>
        <w:ind w:left="567" w:hanging="567"/>
        <w:jc w:val="both"/>
        <w:rPr>
          <w:rFonts w:eastAsia="Times New Roman" w:cs="Times New Roman"/>
          <w:sz w:val="22"/>
        </w:rPr>
      </w:pPr>
      <w:r w:rsidRPr="00D653EF">
        <w:rPr>
          <w:rFonts w:eastAsia="Times New Roman" w:cs="Times New Roman"/>
          <w:sz w:val="22"/>
        </w:rPr>
        <w:t>Lech, K., Hoople, L., Abiker, K., Mitchell, M., &amp; Mooney,</w:t>
      </w:r>
      <w:r w:rsidRPr="0043571A">
        <w:rPr>
          <w:rFonts w:eastAsia="Times New Roman" w:cs="Times New Roman"/>
          <w:sz w:val="22"/>
        </w:rPr>
        <w:t xml:space="preserve"> </w:t>
      </w:r>
      <w:r w:rsidRPr="00D653EF">
        <w:rPr>
          <w:rFonts w:eastAsia="Times New Roman" w:cs="Times New Roman"/>
          <w:sz w:val="22"/>
        </w:rPr>
        <w:t>P. (2017). Students as producers and active partners in enhancing equa</w:t>
      </w:r>
      <w:r w:rsidRPr="0043571A">
        <w:rPr>
          <w:rFonts w:eastAsia="Times New Roman" w:cs="Times New Roman"/>
          <w:sz w:val="22"/>
        </w:rPr>
        <w:t>lity and diversity: Culturosity</w:t>
      </w:r>
      <w:r w:rsidRPr="00D653EF">
        <w:rPr>
          <w:rFonts w:eastAsia="Times New Roman" w:cs="Times New Roman"/>
          <w:sz w:val="22"/>
        </w:rPr>
        <w:t xml:space="preserve"> at Canterbury Christ Church University. </w:t>
      </w:r>
      <w:r w:rsidRPr="00D653EF">
        <w:rPr>
          <w:rFonts w:eastAsia="Times New Roman" w:cs="Times New Roman"/>
          <w:i/>
          <w:iCs/>
          <w:sz w:val="22"/>
        </w:rPr>
        <w:t>Journal of Educational Innovation, Partnership and Change, 3</w:t>
      </w:r>
      <w:r w:rsidRPr="00D653EF">
        <w:rPr>
          <w:rFonts w:eastAsia="Times New Roman" w:cs="Times New Roman"/>
          <w:sz w:val="22"/>
        </w:rPr>
        <w:t>(2).</w:t>
      </w:r>
      <w:r w:rsidR="0043571A" w:rsidRPr="0043571A">
        <w:rPr>
          <w:sz w:val="22"/>
        </w:rPr>
        <w:t xml:space="preserve"> </w:t>
      </w:r>
      <w:hyperlink r:id="rId20" w:history="1">
        <w:r w:rsidR="0043571A" w:rsidRPr="0043571A">
          <w:rPr>
            <w:rStyle w:val="Hyperlink"/>
            <w:rFonts w:eastAsia="Times New Roman" w:cs="Times New Roman"/>
            <w:color w:val="auto"/>
            <w:sz w:val="22"/>
            <w:u w:val="none"/>
          </w:rPr>
          <w:t>doi</w:t>
        </w:r>
      </w:hyperlink>
      <w:r w:rsidR="0043571A" w:rsidRPr="0043571A">
        <w:rPr>
          <w:rFonts w:eastAsia="Times New Roman" w:cs="Times New Roman"/>
          <w:sz w:val="22"/>
        </w:rPr>
        <w:t>: 10.21100/</w:t>
      </w:r>
      <w:r w:rsidR="005004D8" w:rsidRPr="0043571A">
        <w:rPr>
          <w:rFonts w:eastAsia="Times New Roman" w:cs="Times New Roman"/>
          <w:sz w:val="22"/>
        </w:rPr>
        <w:t>jeipc. v</w:t>
      </w:r>
      <w:r w:rsidR="0043571A" w:rsidRPr="0043571A">
        <w:rPr>
          <w:rFonts w:eastAsia="Times New Roman" w:cs="Times New Roman"/>
          <w:sz w:val="22"/>
        </w:rPr>
        <w:t>3i2.533</w:t>
      </w:r>
    </w:p>
    <w:p w14:paraId="6A4DDD9A" w14:textId="77777777" w:rsidR="009E0148" w:rsidRPr="0043571A" w:rsidRDefault="009E0148" w:rsidP="00E4270D">
      <w:pPr>
        <w:autoSpaceDE w:val="0"/>
        <w:autoSpaceDN w:val="0"/>
        <w:adjustRightInd w:val="0"/>
        <w:spacing w:after="120" w:line="240" w:lineRule="auto"/>
        <w:ind w:left="567" w:hanging="567"/>
        <w:jc w:val="both"/>
        <w:rPr>
          <w:rFonts w:eastAsia="Times New Roman" w:cs="Times New Roman"/>
          <w:b/>
          <w:bCs/>
          <w:sz w:val="22"/>
        </w:rPr>
      </w:pPr>
      <w:r w:rsidRPr="0043571A">
        <w:rPr>
          <w:rFonts w:eastAsia="Times New Roman" w:cs="Times New Roman"/>
          <w:sz w:val="22"/>
        </w:rPr>
        <w:t>Mazdayasna, G.</w:t>
      </w:r>
      <w:r w:rsidR="00715BE7" w:rsidRPr="0043571A">
        <w:rPr>
          <w:rFonts w:eastAsia="Times New Roman" w:cs="Times New Roman"/>
          <w:sz w:val="22"/>
        </w:rPr>
        <w:t>,</w:t>
      </w:r>
      <w:r w:rsidRPr="0043571A">
        <w:rPr>
          <w:rFonts w:eastAsia="Times New Roman" w:cs="Times New Roman"/>
          <w:sz w:val="22"/>
        </w:rPr>
        <w:t xml:space="preserve"> &amp; Zaini, A. (2015). The effect of collaborative prewriting discussions on L2 writing development and learners’ identity construction</w:t>
      </w:r>
      <w:r w:rsidRPr="0043571A">
        <w:rPr>
          <w:rFonts w:eastAsia="Times New Roman" w:cs="Times New Roman"/>
          <w:i/>
          <w:iCs/>
          <w:sz w:val="22"/>
        </w:rPr>
        <w:t>. Iranian Journal of Applied Linguistics (IJAL), 18</w:t>
      </w:r>
      <w:r w:rsidR="00851040" w:rsidRPr="0043571A">
        <w:rPr>
          <w:rFonts w:eastAsia="Times New Roman" w:cs="Times New Roman"/>
          <w:sz w:val="22"/>
        </w:rPr>
        <w:t>(</w:t>
      </w:r>
      <w:r w:rsidRPr="0043571A">
        <w:rPr>
          <w:rFonts w:eastAsia="Times New Roman" w:cs="Times New Roman"/>
          <w:sz w:val="22"/>
        </w:rPr>
        <w:t>2</w:t>
      </w:r>
      <w:r w:rsidR="00851040" w:rsidRPr="0043571A">
        <w:rPr>
          <w:rFonts w:eastAsia="Times New Roman" w:cs="Times New Roman"/>
          <w:sz w:val="22"/>
        </w:rPr>
        <w:t>)</w:t>
      </w:r>
      <w:r w:rsidRPr="0043571A">
        <w:rPr>
          <w:rFonts w:eastAsia="Times New Roman" w:cs="Times New Roman"/>
          <w:sz w:val="22"/>
        </w:rPr>
        <w:t>, 141-164.</w:t>
      </w:r>
      <w:r w:rsidR="008B2016" w:rsidRPr="0043571A">
        <w:rPr>
          <w:rFonts w:eastAsia="Times New Roman" w:cs="Times New Roman"/>
          <w:b/>
          <w:bCs/>
          <w:sz w:val="22"/>
        </w:rPr>
        <w:t xml:space="preserve"> </w:t>
      </w:r>
      <w:r w:rsidR="00674C35">
        <w:rPr>
          <w:rFonts w:eastAsia="Times New Roman" w:cs="Times New Roman"/>
          <w:sz w:val="22"/>
        </w:rPr>
        <w:t>doi: 10. 18869/acadpub.ijal.</w:t>
      </w:r>
      <w:r w:rsidR="008B2016" w:rsidRPr="0043571A">
        <w:rPr>
          <w:rFonts w:eastAsia="Times New Roman" w:cs="Times New Roman"/>
          <w:sz w:val="22"/>
        </w:rPr>
        <w:t>18.2.141</w:t>
      </w:r>
    </w:p>
    <w:p w14:paraId="483B3B81" w14:textId="77777777" w:rsidR="00350962" w:rsidRPr="0043571A" w:rsidRDefault="004A3D88" w:rsidP="00E4270D">
      <w:pPr>
        <w:autoSpaceDE w:val="0"/>
        <w:autoSpaceDN w:val="0"/>
        <w:adjustRightInd w:val="0"/>
        <w:spacing w:after="120" w:line="240" w:lineRule="auto"/>
        <w:ind w:left="567" w:hanging="567"/>
        <w:jc w:val="both"/>
        <w:rPr>
          <w:rFonts w:asciiTheme="majorBidi" w:eastAsia="Times New Roman" w:hAnsiTheme="majorBidi" w:cstheme="majorBidi"/>
          <w:sz w:val="22"/>
        </w:rPr>
      </w:pPr>
      <w:r w:rsidRPr="0043571A">
        <w:rPr>
          <w:rFonts w:eastAsia="Times New Roman" w:cs="Times New Roman"/>
          <w:sz w:val="22"/>
        </w:rPr>
        <w:t>McKimm, J. Millard, L.</w:t>
      </w:r>
      <w:r w:rsidR="00715BE7" w:rsidRPr="0043571A">
        <w:rPr>
          <w:rFonts w:eastAsia="Times New Roman" w:cs="Times New Roman"/>
          <w:sz w:val="22"/>
        </w:rPr>
        <w:t>,</w:t>
      </w:r>
      <w:r w:rsidRPr="0043571A">
        <w:rPr>
          <w:rFonts w:eastAsia="Times New Roman" w:cs="Times New Roman"/>
          <w:sz w:val="22"/>
        </w:rPr>
        <w:t xml:space="preserve"> </w:t>
      </w:r>
      <w:r w:rsidR="00EE2CBE" w:rsidRPr="0043571A">
        <w:rPr>
          <w:rFonts w:eastAsia="Times New Roman" w:cs="Times New Roman"/>
          <w:sz w:val="22"/>
        </w:rPr>
        <w:t>&amp;</w:t>
      </w:r>
      <w:r w:rsidRPr="0043571A">
        <w:rPr>
          <w:rFonts w:eastAsia="Times New Roman" w:cs="Times New Roman"/>
          <w:sz w:val="22"/>
        </w:rPr>
        <w:t xml:space="preserve"> Held, S. (2008)</w:t>
      </w:r>
      <w:r w:rsidR="00EE2CBE" w:rsidRPr="0043571A">
        <w:rPr>
          <w:rFonts w:eastAsia="Times New Roman" w:cs="Times New Roman"/>
          <w:sz w:val="22"/>
        </w:rPr>
        <w:t>. Leadership, education and p</w:t>
      </w:r>
      <w:r w:rsidRPr="0043571A">
        <w:rPr>
          <w:rFonts w:eastAsia="Times New Roman" w:cs="Times New Roman"/>
          <w:sz w:val="22"/>
        </w:rPr>
        <w:t>artnership: Project LEAP</w:t>
      </w:r>
      <w:r w:rsidR="00EE2CBE" w:rsidRPr="0043571A">
        <w:rPr>
          <w:rFonts w:eastAsia="Times New Roman" w:cs="Times New Roman"/>
          <w:sz w:val="22"/>
        </w:rPr>
        <w:t>, developing regional educational leadership capacity in higher e</w:t>
      </w:r>
      <w:r w:rsidRPr="0043571A">
        <w:rPr>
          <w:rFonts w:eastAsia="Times New Roman" w:cs="Times New Roman"/>
          <w:sz w:val="22"/>
        </w:rPr>
        <w:t>duc</w:t>
      </w:r>
      <w:r w:rsidR="00EE2CBE" w:rsidRPr="0043571A">
        <w:rPr>
          <w:rFonts w:eastAsia="Times New Roman" w:cs="Times New Roman"/>
          <w:sz w:val="22"/>
        </w:rPr>
        <w:t>ation and health services through collaborative leadership and partnership w</w:t>
      </w:r>
      <w:r w:rsidRPr="0043571A">
        <w:rPr>
          <w:rFonts w:eastAsia="Times New Roman" w:cs="Times New Roman"/>
          <w:sz w:val="22"/>
        </w:rPr>
        <w:t xml:space="preserve">orking. </w:t>
      </w:r>
      <w:r w:rsidRPr="0043571A">
        <w:rPr>
          <w:rFonts w:eastAsia="Times New Roman" w:cs="Times New Roman"/>
          <w:i/>
          <w:iCs/>
          <w:sz w:val="22"/>
        </w:rPr>
        <w:t>The International Journal of L</w:t>
      </w:r>
      <w:r w:rsidR="00715BE7" w:rsidRPr="0043571A">
        <w:rPr>
          <w:rFonts w:eastAsia="Times New Roman" w:cs="Times New Roman"/>
          <w:i/>
          <w:iCs/>
          <w:sz w:val="22"/>
        </w:rPr>
        <w:t>eadership in Public Services,</w:t>
      </w:r>
      <w:r w:rsidR="0016457E" w:rsidRPr="0043571A">
        <w:rPr>
          <w:rFonts w:eastAsia="Times New Roman" w:cs="Times New Roman"/>
          <w:i/>
          <w:iCs/>
          <w:sz w:val="22"/>
        </w:rPr>
        <w:t xml:space="preserve"> 4</w:t>
      </w:r>
      <w:r w:rsidRPr="0043571A">
        <w:rPr>
          <w:rFonts w:eastAsia="Times New Roman" w:cs="Times New Roman"/>
          <w:sz w:val="22"/>
        </w:rPr>
        <w:t>(4), 24–38</w:t>
      </w:r>
      <w:r w:rsidRPr="0043571A">
        <w:rPr>
          <w:rFonts w:asciiTheme="majorBidi" w:eastAsia="Times New Roman" w:hAnsiTheme="majorBidi" w:cstheme="majorBidi"/>
          <w:sz w:val="22"/>
        </w:rPr>
        <w:t>.</w:t>
      </w:r>
      <w:r w:rsidR="00350962" w:rsidRPr="0043571A">
        <w:rPr>
          <w:rFonts w:asciiTheme="majorBidi" w:eastAsia="Times New Roman" w:hAnsiTheme="majorBidi" w:cstheme="majorBidi"/>
          <w:sz w:val="22"/>
        </w:rPr>
        <w:t xml:space="preserve"> </w:t>
      </w:r>
      <w:r w:rsidR="00EE2CBE" w:rsidRPr="0043571A">
        <w:rPr>
          <w:rFonts w:asciiTheme="majorBidi" w:hAnsiTheme="majorBidi" w:cstheme="majorBidi"/>
          <w:sz w:val="22"/>
        </w:rPr>
        <w:t>doi: 10.1108/17479886200800034</w:t>
      </w:r>
    </w:p>
    <w:p w14:paraId="2366A68C" w14:textId="77777777" w:rsidR="006C32B9" w:rsidRPr="0043571A" w:rsidRDefault="006C32B9" w:rsidP="00E4270D">
      <w:pPr>
        <w:autoSpaceDE w:val="0"/>
        <w:autoSpaceDN w:val="0"/>
        <w:adjustRightInd w:val="0"/>
        <w:spacing w:after="120" w:line="240" w:lineRule="auto"/>
        <w:ind w:left="567" w:hanging="567"/>
        <w:jc w:val="both"/>
        <w:rPr>
          <w:rFonts w:asciiTheme="majorBidi" w:eastAsia="Calibri" w:hAnsiTheme="majorBidi" w:cstheme="majorBidi"/>
          <w:sz w:val="22"/>
        </w:rPr>
      </w:pPr>
      <w:r w:rsidRPr="00E4270D">
        <w:rPr>
          <w:rFonts w:eastAsia="Times New Roman" w:cs="Times New Roman"/>
          <w:sz w:val="22"/>
        </w:rPr>
        <w:t>Miilrood</w:t>
      </w:r>
      <w:r w:rsidRPr="0043571A">
        <w:rPr>
          <w:rFonts w:asciiTheme="majorBidi" w:eastAsia="Calibri" w:hAnsiTheme="majorBidi" w:cstheme="majorBidi"/>
          <w:sz w:val="22"/>
        </w:rPr>
        <w:t xml:space="preserve">, R. (2002). Teaching heterogeneous Classes. </w:t>
      </w:r>
      <w:r w:rsidR="00715BE7" w:rsidRPr="0043571A">
        <w:rPr>
          <w:rFonts w:asciiTheme="majorBidi" w:eastAsia="Calibri" w:hAnsiTheme="majorBidi" w:cstheme="majorBidi"/>
          <w:i/>
          <w:iCs/>
          <w:sz w:val="22"/>
        </w:rPr>
        <w:t>ELT Journal,</w:t>
      </w:r>
      <w:r w:rsidR="002347BD" w:rsidRPr="0043571A">
        <w:rPr>
          <w:rFonts w:asciiTheme="majorBidi" w:eastAsia="Calibri" w:hAnsiTheme="majorBidi" w:cstheme="majorBidi"/>
          <w:i/>
          <w:iCs/>
          <w:sz w:val="22"/>
        </w:rPr>
        <w:t xml:space="preserve"> 56</w:t>
      </w:r>
      <w:r w:rsidR="002347BD" w:rsidRPr="0043571A">
        <w:rPr>
          <w:rFonts w:asciiTheme="majorBidi" w:eastAsia="Calibri" w:hAnsiTheme="majorBidi" w:cstheme="majorBidi"/>
          <w:sz w:val="22"/>
        </w:rPr>
        <w:t>(2),</w:t>
      </w:r>
      <w:r w:rsidR="002347BD" w:rsidRPr="0043571A">
        <w:rPr>
          <w:rFonts w:asciiTheme="majorBidi" w:eastAsia="Calibri" w:hAnsiTheme="majorBidi" w:cstheme="majorBidi"/>
          <w:i/>
          <w:iCs/>
          <w:sz w:val="22"/>
        </w:rPr>
        <w:t xml:space="preserve"> </w:t>
      </w:r>
      <w:r w:rsidRPr="0043571A">
        <w:rPr>
          <w:rFonts w:asciiTheme="majorBidi" w:eastAsia="Calibri" w:hAnsiTheme="majorBidi" w:cstheme="majorBidi"/>
          <w:sz w:val="22"/>
        </w:rPr>
        <w:t>128-136</w:t>
      </w:r>
      <w:r w:rsidRPr="0043571A">
        <w:rPr>
          <w:rFonts w:asciiTheme="majorBidi" w:eastAsia="Calibri" w:hAnsiTheme="majorBidi" w:cstheme="majorBidi"/>
          <w:i/>
          <w:iCs/>
          <w:sz w:val="22"/>
        </w:rPr>
        <w:t>.</w:t>
      </w:r>
      <w:r w:rsidR="004750D9" w:rsidRPr="0043571A">
        <w:rPr>
          <w:rFonts w:asciiTheme="majorBidi" w:hAnsiTheme="majorBidi" w:cstheme="majorBidi"/>
          <w:sz w:val="22"/>
        </w:rPr>
        <w:t xml:space="preserve"> </w:t>
      </w:r>
      <w:hyperlink r:id="rId21" w:history="1">
        <w:r w:rsidR="004750D9" w:rsidRPr="0043571A">
          <w:rPr>
            <w:rFonts w:asciiTheme="majorBidi" w:hAnsiTheme="majorBidi" w:cstheme="majorBidi"/>
            <w:sz w:val="22"/>
            <w:bdr w:val="none" w:sz="0" w:space="0" w:color="auto" w:frame="1"/>
          </w:rPr>
          <w:t>doi: 10.1093/elt/56.2.128</w:t>
        </w:r>
      </w:hyperlink>
    </w:p>
    <w:p w14:paraId="341004CE" w14:textId="25E9A9F7" w:rsidR="004D692C" w:rsidRPr="0043571A" w:rsidRDefault="004D692C" w:rsidP="00D023BA">
      <w:pPr>
        <w:autoSpaceDE w:val="0"/>
        <w:autoSpaceDN w:val="0"/>
        <w:adjustRightInd w:val="0"/>
        <w:spacing w:after="120" w:line="240" w:lineRule="auto"/>
        <w:ind w:left="567" w:hanging="567"/>
        <w:jc w:val="both"/>
        <w:rPr>
          <w:rFonts w:asciiTheme="majorBidi" w:hAnsiTheme="majorBidi" w:cstheme="majorBidi"/>
          <w:sz w:val="22"/>
        </w:rPr>
      </w:pPr>
      <w:r w:rsidRPr="00E4270D">
        <w:rPr>
          <w:rFonts w:eastAsia="Times New Roman" w:cs="Times New Roman"/>
          <w:sz w:val="22"/>
        </w:rPr>
        <w:t>Mkandawire</w:t>
      </w:r>
      <w:r w:rsidRPr="0043571A">
        <w:rPr>
          <w:rFonts w:asciiTheme="majorBidi" w:hAnsiTheme="majorBidi" w:cstheme="majorBidi"/>
          <w:sz w:val="22"/>
        </w:rPr>
        <w:t xml:space="preserve">, M. T., Maulidi, F. K., Sitima, J., &amp; Luo, Z. (2018). Who should be deciding what to be taught in schools? Perspectives from secondary school teacher education in Malawi. </w:t>
      </w:r>
      <w:r w:rsidRPr="0043571A">
        <w:rPr>
          <w:rFonts w:asciiTheme="majorBidi" w:hAnsiTheme="majorBidi" w:cstheme="majorBidi"/>
          <w:i/>
          <w:iCs/>
          <w:sz w:val="22"/>
        </w:rPr>
        <w:t xml:space="preserve">Journal </w:t>
      </w:r>
      <w:r w:rsidR="00674C35" w:rsidRPr="0043571A">
        <w:rPr>
          <w:rFonts w:asciiTheme="majorBidi" w:hAnsiTheme="majorBidi" w:cstheme="majorBidi"/>
          <w:i/>
          <w:iCs/>
          <w:sz w:val="22"/>
        </w:rPr>
        <w:t>of Medical Education and Curricular Development</w:t>
      </w:r>
      <w:r w:rsidRPr="00D023BA">
        <w:rPr>
          <w:rFonts w:asciiTheme="majorBidi" w:hAnsiTheme="majorBidi" w:cstheme="majorBidi"/>
          <w:sz w:val="22"/>
        </w:rPr>
        <w:t xml:space="preserve">, </w:t>
      </w:r>
      <w:r w:rsidR="00D369AD" w:rsidRPr="00D369AD">
        <w:rPr>
          <w:rFonts w:asciiTheme="majorBidi" w:hAnsiTheme="majorBidi" w:cstheme="majorBidi"/>
          <w:i/>
          <w:iCs/>
          <w:sz w:val="22"/>
        </w:rPr>
        <w:t>10</w:t>
      </w:r>
      <w:r w:rsidR="00D369AD" w:rsidRPr="00D369AD">
        <w:rPr>
          <w:rFonts w:asciiTheme="majorBidi" w:hAnsiTheme="majorBidi" w:cstheme="majorBidi"/>
          <w:sz w:val="22"/>
        </w:rPr>
        <w:t>(</w:t>
      </w:r>
      <w:r w:rsidRPr="00D369AD">
        <w:rPr>
          <w:rFonts w:asciiTheme="majorBidi" w:hAnsiTheme="majorBidi" w:cstheme="majorBidi"/>
          <w:sz w:val="22"/>
        </w:rPr>
        <w:t>5</w:t>
      </w:r>
      <w:r w:rsidR="00D369AD" w:rsidRPr="00D369AD">
        <w:rPr>
          <w:rFonts w:asciiTheme="majorBidi" w:hAnsiTheme="majorBidi" w:cstheme="majorBidi"/>
          <w:sz w:val="22"/>
        </w:rPr>
        <w:t>)</w:t>
      </w:r>
      <w:r w:rsidRPr="00D369AD">
        <w:rPr>
          <w:rFonts w:asciiTheme="majorBidi" w:hAnsiTheme="majorBidi" w:cstheme="majorBidi"/>
          <w:sz w:val="22"/>
        </w:rPr>
        <w:t>,</w:t>
      </w:r>
      <w:r w:rsidRPr="00D023BA">
        <w:rPr>
          <w:rFonts w:asciiTheme="majorBidi" w:hAnsiTheme="majorBidi" w:cstheme="majorBidi"/>
          <w:sz w:val="22"/>
        </w:rPr>
        <w:t xml:space="preserve"> </w:t>
      </w:r>
      <w:r w:rsidR="00D023BA" w:rsidRPr="00D023BA">
        <w:rPr>
          <w:rFonts w:asciiTheme="majorBidi" w:hAnsiTheme="majorBidi" w:cstheme="majorBidi"/>
          <w:sz w:val="22"/>
        </w:rPr>
        <w:t xml:space="preserve">doi: </w:t>
      </w:r>
      <w:r w:rsidRPr="00D023BA">
        <w:rPr>
          <w:rFonts w:asciiTheme="majorBidi" w:hAnsiTheme="majorBidi" w:cstheme="majorBidi"/>
          <w:sz w:val="22"/>
        </w:rPr>
        <w:t>2382120518767903.</w:t>
      </w:r>
      <w:r w:rsidR="00D023BA" w:rsidRPr="00D023BA">
        <w:t xml:space="preserve"> </w:t>
      </w:r>
    </w:p>
    <w:p w14:paraId="6595124C" w14:textId="77777777" w:rsidR="006376B5" w:rsidRPr="0043571A" w:rsidRDefault="006376B5" w:rsidP="00E4270D">
      <w:pPr>
        <w:autoSpaceDE w:val="0"/>
        <w:autoSpaceDN w:val="0"/>
        <w:adjustRightInd w:val="0"/>
        <w:spacing w:after="120" w:line="240" w:lineRule="auto"/>
        <w:ind w:left="567" w:hanging="567"/>
        <w:jc w:val="both"/>
        <w:rPr>
          <w:rFonts w:asciiTheme="majorBidi" w:hAnsiTheme="majorBidi" w:cstheme="majorBidi"/>
          <w:sz w:val="22"/>
          <w:bdr w:val="none" w:sz="0" w:space="0" w:color="auto" w:frame="1"/>
        </w:rPr>
      </w:pPr>
      <w:r w:rsidRPr="00E4270D">
        <w:rPr>
          <w:rFonts w:eastAsia="Times New Roman" w:cs="Times New Roman"/>
          <w:sz w:val="22"/>
        </w:rPr>
        <w:t>Mynard</w:t>
      </w:r>
      <w:r w:rsidR="00674C35">
        <w:rPr>
          <w:rFonts w:asciiTheme="majorBidi" w:eastAsia="Times New Roman" w:hAnsiTheme="majorBidi" w:cstheme="majorBidi"/>
          <w:sz w:val="22"/>
          <w:lang w:val="en"/>
        </w:rPr>
        <w:t xml:space="preserve">, J., &amp; Almarzouqi, I. </w:t>
      </w:r>
      <w:r w:rsidRPr="0043571A">
        <w:rPr>
          <w:rFonts w:asciiTheme="majorBidi" w:eastAsia="Times New Roman" w:hAnsiTheme="majorBidi" w:cstheme="majorBidi"/>
          <w:sz w:val="22"/>
          <w:lang w:val="en"/>
        </w:rPr>
        <w:t xml:space="preserve">(2006). Investigating peer tutoring. </w:t>
      </w:r>
      <w:r w:rsidRPr="0043571A">
        <w:rPr>
          <w:rFonts w:asciiTheme="majorBidi" w:eastAsia="Times New Roman" w:hAnsiTheme="majorBidi" w:cstheme="majorBidi"/>
          <w:i/>
          <w:iCs/>
          <w:sz w:val="22"/>
          <w:lang w:val="en"/>
        </w:rPr>
        <w:t>ELT Journal,</w:t>
      </w:r>
      <w:r w:rsidRPr="0043571A">
        <w:rPr>
          <w:rFonts w:asciiTheme="majorBidi" w:eastAsia="Times New Roman" w:hAnsiTheme="majorBidi" w:cstheme="majorBidi"/>
          <w:sz w:val="22"/>
          <w:lang w:val="en"/>
        </w:rPr>
        <w:t xml:space="preserve"> </w:t>
      </w:r>
      <w:r w:rsidRPr="0043571A">
        <w:rPr>
          <w:rFonts w:asciiTheme="majorBidi" w:eastAsia="Times New Roman" w:hAnsiTheme="majorBidi" w:cstheme="majorBidi"/>
          <w:i/>
          <w:iCs/>
          <w:sz w:val="22"/>
          <w:lang w:val="en"/>
        </w:rPr>
        <w:t>60</w:t>
      </w:r>
      <w:r w:rsidRPr="0043571A">
        <w:rPr>
          <w:rFonts w:asciiTheme="majorBidi" w:eastAsia="Times New Roman" w:hAnsiTheme="majorBidi" w:cstheme="majorBidi"/>
          <w:sz w:val="22"/>
          <w:lang w:val="en"/>
        </w:rPr>
        <w:t>, 13–22.</w:t>
      </w:r>
      <w:r w:rsidR="002347BD" w:rsidRPr="0043571A">
        <w:rPr>
          <w:rFonts w:asciiTheme="majorBidi" w:eastAsia="Times New Roman" w:hAnsiTheme="majorBidi" w:cstheme="majorBidi"/>
          <w:sz w:val="22"/>
          <w:lang w:val="en"/>
        </w:rPr>
        <w:t xml:space="preserve"> </w:t>
      </w:r>
      <w:hyperlink r:id="rId22" w:history="1">
        <w:r w:rsidR="00DB5F83" w:rsidRPr="0043571A">
          <w:rPr>
            <w:rFonts w:asciiTheme="majorBidi" w:hAnsiTheme="majorBidi" w:cstheme="majorBidi"/>
            <w:sz w:val="22"/>
            <w:bdr w:val="none" w:sz="0" w:space="0" w:color="auto" w:frame="1"/>
          </w:rPr>
          <w:t>doi.org/10.1093/elt/cci077</w:t>
        </w:r>
      </w:hyperlink>
    </w:p>
    <w:p w14:paraId="22EBE80B" w14:textId="501068B5" w:rsidR="00812AE3" w:rsidRPr="0043571A" w:rsidRDefault="00812AE3" w:rsidP="00E4270D">
      <w:pPr>
        <w:autoSpaceDE w:val="0"/>
        <w:autoSpaceDN w:val="0"/>
        <w:adjustRightInd w:val="0"/>
        <w:spacing w:after="120" w:line="240" w:lineRule="auto"/>
        <w:ind w:left="567" w:hanging="567"/>
        <w:jc w:val="both"/>
        <w:rPr>
          <w:rFonts w:asciiTheme="majorBidi" w:eastAsia="Times New Roman" w:hAnsiTheme="majorBidi" w:cstheme="majorBidi"/>
          <w:sz w:val="22"/>
          <w:lang w:val="en"/>
        </w:rPr>
      </w:pPr>
      <w:r w:rsidRPr="00E4270D">
        <w:rPr>
          <w:rFonts w:eastAsia="Times New Roman" w:cs="Times New Roman"/>
          <w:sz w:val="22"/>
        </w:rPr>
        <w:t>Nattiv</w:t>
      </w:r>
      <w:r w:rsidR="00D023BA">
        <w:rPr>
          <w:rFonts w:asciiTheme="majorBidi" w:eastAsia="Times New Roman" w:hAnsiTheme="majorBidi" w:cstheme="majorBidi"/>
          <w:sz w:val="22"/>
        </w:rPr>
        <w:t>, A. (1994). Helping b</w:t>
      </w:r>
      <w:r w:rsidRPr="0043571A">
        <w:rPr>
          <w:rFonts w:asciiTheme="majorBidi" w:eastAsia="Times New Roman" w:hAnsiTheme="majorBidi" w:cstheme="majorBidi"/>
          <w:sz w:val="22"/>
        </w:rPr>
        <w:t>ehaviors and math achievement gain of students using cooperative learning</w:t>
      </w:r>
      <w:r w:rsidRPr="0043571A">
        <w:rPr>
          <w:rFonts w:asciiTheme="majorBidi" w:eastAsia="Times New Roman" w:hAnsiTheme="majorBidi" w:cstheme="majorBidi"/>
          <w:i/>
          <w:iCs/>
          <w:sz w:val="22"/>
        </w:rPr>
        <w:t xml:space="preserve">. The Elementary School </w:t>
      </w:r>
      <w:r w:rsidRPr="00D023BA">
        <w:rPr>
          <w:rFonts w:asciiTheme="majorBidi" w:eastAsia="Times New Roman" w:hAnsiTheme="majorBidi" w:cstheme="majorBidi"/>
          <w:i/>
          <w:iCs/>
          <w:sz w:val="22"/>
        </w:rPr>
        <w:t>Journal,</w:t>
      </w:r>
      <w:r w:rsidRPr="00D023BA">
        <w:rPr>
          <w:rFonts w:asciiTheme="majorBidi" w:eastAsia="Times New Roman" w:hAnsiTheme="majorBidi" w:cstheme="majorBidi"/>
          <w:sz w:val="22"/>
        </w:rPr>
        <w:t xml:space="preserve"> </w:t>
      </w:r>
      <w:r w:rsidR="00D023BA" w:rsidRPr="00D023BA">
        <w:rPr>
          <w:rFonts w:asciiTheme="majorBidi" w:eastAsia="Times New Roman" w:hAnsiTheme="majorBidi" w:cstheme="majorBidi"/>
          <w:i/>
          <w:iCs/>
          <w:sz w:val="22"/>
        </w:rPr>
        <w:t>94</w:t>
      </w:r>
      <w:r w:rsidR="00D023BA" w:rsidRPr="00D023BA">
        <w:rPr>
          <w:rFonts w:asciiTheme="majorBidi" w:eastAsia="Times New Roman" w:hAnsiTheme="majorBidi" w:cstheme="majorBidi"/>
          <w:sz w:val="22"/>
        </w:rPr>
        <w:t xml:space="preserve">(3), </w:t>
      </w:r>
      <w:r w:rsidRPr="00D023BA">
        <w:rPr>
          <w:rFonts w:asciiTheme="majorBidi" w:eastAsia="Times New Roman" w:hAnsiTheme="majorBidi" w:cstheme="majorBidi"/>
          <w:sz w:val="22"/>
        </w:rPr>
        <w:t>285-297.</w:t>
      </w:r>
    </w:p>
    <w:p w14:paraId="4F31C031" w14:textId="77777777" w:rsidR="00953DBE" w:rsidRPr="0043571A" w:rsidRDefault="002B0EB1"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 xml:space="preserve">Pauli, R., Raymond-Barker, B., &amp; Worrell, M. (2016). </w:t>
      </w:r>
      <w:r w:rsidRPr="0043571A">
        <w:rPr>
          <w:rFonts w:eastAsia="Times New Roman" w:cs="Times New Roman"/>
          <w:i/>
          <w:iCs/>
          <w:sz w:val="22"/>
        </w:rPr>
        <w:t>The impact of pedagogies of partnership on the student learning experience in UK higher education.</w:t>
      </w:r>
      <w:r w:rsidRPr="0043571A">
        <w:rPr>
          <w:rFonts w:eastAsia="Times New Roman" w:cs="Times New Roman"/>
          <w:sz w:val="22"/>
        </w:rPr>
        <w:t xml:space="preserve"> York: HE Academy.</w:t>
      </w:r>
    </w:p>
    <w:p w14:paraId="42A6FB9B" w14:textId="77777777" w:rsidR="002B0EB1" w:rsidRPr="0043571A" w:rsidRDefault="00953DBE" w:rsidP="00E4270D">
      <w:pPr>
        <w:autoSpaceDE w:val="0"/>
        <w:autoSpaceDN w:val="0"/>
        <w:adjustRightInd w:val="0"/>
        <w:spacing w:after="120" w:line="240" w:lineRule="auto"/>
        <w:ind w:left="567" w:hanging="567"/>
        <w:jc w:val="both"/>
        <w:rPr>
          <w:rFonts w:eastAsia="Times New Roman" w:cs="Times New Roman"/>
          <w:color w:val="0D0D0D" w:themeColor="text1" w:themeTint="F2"/>
          <w:sz w:val="22"/>
        </w:rPr>
      </w:pPr>
      <w:r w:rsidRPr="00E4270D">
        <w:rPr>
          <w:rFonts w:eastAsia="Times New Roman" w:cs="Times New Roman"/>
          <w:sz w:val="22"/>
        </w:rPr>
        <w:t>Poole</w:t>
      </w:r>
      <w:r w:rsidRPr="0043571A">
        <w:rPr>
          <w:rFonts w:eastAsia="Times New Roman" w:cs="Times New Roman"/>
          <w:color w:val="0D0D0D" w:themeColor="text1" w:themeTint="F2"/>
          <w:sz w:val="22"/>
        </w:rPr>
        <w:t>,</w:t>
      </w:r>
      <w:r w:rsidR="0053049A" w:rsidRPr="0043571A">
        <w:rPr>
          <w:rFonts w:eastAsia="Times New Roman" w:cs="Times New Roman"/>
          <w:color w:val="0D0D0D" w:themeColor="text1" w:themeTint="F2"/>
          <w:sz w:val="22"/>
        </w:rPr>
        <w:t xml:space="preserve"> D. (2008). Interactional d</w:t>
      </w:r>
      <w:r w:rsidRPr="0043571A">
        <w:rPr>
          <w:rFonts w:eastAsia="Times New Roman" w:cs="Times New Roman"/>
          <w:color w:val="0D0D0D" w:themeColor="text1" w:themeTint="F2"/>
          <w:sz w:val="22"/>
        </w:rPr>
        <w:t>if</w:t>
      </w:r>
      <w:r w:rsidR="0053049A" w:rsidRPr="0043571A">
        <w:rPr>
          <w:rFonts w:eastAsia="Times New Roman" w:cs="Times New Roman"/>
          <w:color w:val="0D0D0D" w:themeColor="text1" w:themeTint="F2"/>
          <w:sz w:val="22"/>
        </w:rPr>
        <w:t>ferentiation in the mixed-ability group: A situated view of two struggling r</w:t>
      </w:r>
      <w:r w:rsidRPr="0043571A">
        <w:rPr>
          <w:rFonts w:eastAsia="Times New Roman" w:cs="Times New Roman"/>
          <w:color w:val="0D0D0D" w:themeColor="text1" w:themeTint="F2"/>
          <w:sz w:val="22"/>
        </w:rPr>
        <w:t xml:space="preserve">eaders. </w:t>
      </w:r>
      <w:r w:rsidR="0016457E" w:rsidRPr="0043571A">
        <w:rPr>
          <w:rFonts w:eastAsia="Times New Roman" w:cs="Times New Roman"/>
          <w:i/>
          <w:iCs/>
          <w:color w:val="0D0D0D" w:themeColor="text1" w:themeTint="F2"/>
          <w:sz w:val="22"/>
        </w:rPr>
        <w:t>Reading Research Quarterly, 43</w:t>
      </w:r>
      <w:r w:rsidRPr="0043571A">
        <w:rPr>
          <w:rFonts w:eastAsia="Times New Roman" w:cs="Times New Roman"/>
          <w:color w:val="0D0D0D" w:themeColor="text1" w:themeTint="F2"/>
          <w:sz w:val="22"/>
        </w:rPr>
        <w:t>(3), 228-250.</w:t>
      </w:r>
      <w:r w:rsidR="0053049A" w:rsidRPr="0043571A">
        <w:rPr>
          <w:rFonts w:eastAsia="Times New Roman" w:cs="Times New Roman"/>
          <w:sz w:val="22"/>
        </w:rPr>
        <w:t xml:space="preserve"> doi:10.1598/RRQ.43.3.2</w:t>
      </w:r>
    </w:p>
    <w:p w14:paraId="1B0F410D" w14:textId="77777777" w:rsidR="0065429A" w:rsidRPr="0043571A" w:rsidRDefault="005E517D" w:rsidP="00E4270D">
      <w:pPr>
        <w:autoSpaceDE w:val="0"/>
        <w:autoSpaceDN w:val="0"/>
        <w:adjustRightInd w:val="0"/>
        <w:spacing w:after="120" w:line="240" w:lineRule="auto"/>
        <w:ind w:left="567" w:hanging="567"/>
        <w:jc w:val="both"/>
        <w:rPr>
          <w:rFonts w:eastAsia="Times New Roman" w:cs="Times New Roman"/>
          <w:i/>
          <w:iCs/>
          <w:sz w:val="22"/>
        </w:rPr>
      </w:pPr>
      <w:r w:rsidRPr="0043571A">
        <w:rPr>
          <w:rFonts w:eastAsia="Times New Roman" w:cs="Times New Roman"/>
          <w:sz w:val="22"/>
        </w:rPr>
        <w:lastRenderedPageBreak/>
        <w:t>Smith, C. (2011). Ability</w:t>
      </w:r>
      <w:r w:rsidR="00D91206" w:rsidRPr="0043571A">
        <w:rPr>
          <w:rFonts w:eastAsia="Times New Roman" w:cs="Times New Roman"/>
          <w:sz w:val="22"/>
        </w:rPr>
        <w:t xml:space="preserve"> in primary mathematics education: Patterns and i</w:t>
      </w:r>
      <w:r w:rsidR="0065429A" w:rsidRPr="0043571A">
        <w:rPr>
          <w:rFonts w:eastAsia="Times New Roman" w:cs="Times New Roman"/>
          <w:sz w:val="22"/>
        </w:rPr>
        <w:t xml:space="preserve">mplications. </w:t>
      </w:r>
      <w:r w:rsidR="004F7FB2" w:rsidRPr="0043571A">
        <w:rPr>
          <w:rFonts w:eastAsia="Times New Roman" w:cs="Times New Roman"/>
          <w:i/>
          <w:iCs/>
          <w:sz w:val="22"/>
        </w:rPr>
        <w:t>Pro</w:t>
      </w:r>
      <w:r w:rsidR="0065429A" w:rsidRPr="0043571A">
        <w:rPr>
          <w:rFonts w:eastAsia="Times New Roman" w:cs="Times New Roman"/>
          <w:i/>
          <w:iCs/>
          <w:sz w:val="22"/>
        </w:rPr>
        <w:t>ceedings of the British Society for Research into Learning Mathematics, 31,</w:t>
      </w:r>
      <w:r w:rsidR="0065429A" w:rsidRPr="0043571A">
        <w:rPr>
          <w:rFonts w:eastAsia="Times New Roman" w:cs="Times New Roman"/>
          <w:sz w:val="22"/>
        </w:rPr>
        <w:t xml:space="preserve"> 91-97.</w:t>
      </w:r>
      <w:r w:rsidR="004C1378" w:rsidRPr="0043571A">
        <w:rPr>
          <w:sz w:val="22"/>
        </w:rPr>
        <w:t xml:space="preserve"> </w:t>
      </w:r>
      <w:r w:rsidR="004C1378" w:rsidRPr="0043571A">
        <w:rPr>
          <w:rFonts w:eastAsia="Times New Roman" w:cs="Times New Roman"/>
          <w:sz w:val="22"/>
        </w:rPr>
        <w:t>doi: 10.1080/14794802.2011.624753</w:t>
      </w:r>
    </w:p>
    <w:p w14:paraId="333F5E19" w14:textId="77777777" w:rsidR="00CE67DA" w:rsidRPr="0043571A" w:rsidRDefault="00CE67DA" w:rsidP="00E4270D">
      <w:pPr>
        <w:autoSpaceDE w:val="0"/>
        <w:autoSpaceDN w:val="0"/>
        <w:adjustRightInd w:val="0"/>
        <w:spacing w:after="120" w:line="240" w:lineRule="auto"/>
        <w:ind w:left="567" w:hanging="567"/>
        <w:jc w:val="both"/>
        <w:rPr>
          <w:rFonts w:eastAsia="Calibri" w:cs="Times New Roman"/>
          <w:sz w:val="22"/>
        </w:rPr>
      </w:pPr>
      <w:r w:rsidRPr="00E4270D">
        <w:rPr>
          <w:rFonts w:eastAsia="Times New Roman" w:cs="Times New Roman"/>
          <w:sz w:val="22"/>
        </w:rPr>
        <w:t>Swain</w:t>
      </w:r>
      <w:r w:rsidRPr="0043571A">
        <w:rPr>
          <w:rFonts w:eastAsia="Calibri" w:cs="Times New Roman"/>
          <w:sz w:val="22"/>
        </w:rPr>
        <w:t>, M. (19</w:t>
      </w:r>
      <w:r w:rsidR="005F2AE6" w:rsidRPr="0043571A">
        <w:rPr>
          <w:rFonts w:eastAsia="Calibri" w:cs="Times New Roman"/>
          <w:sz w:val="22"/>
        </w:rPr>
        <w:t>85). Communicative competence: S</w:t>
      </w:r>
      <w:r w:rsidRPr="0043571A">
        <w:rPr>
          <w:rFonts w:eastAsia="Calibri" w:cs="Times New Roman"/>
          <w:sz w:val="22"/>
        </w:rPr>
        <w:t xml:space="preserve">ome roles of comprehensible input and comprehensible output in its development. In Gass, S. </w:t>
      </w:r>
      <w:r w:rsidR="00AB58D4" w:rsidRPr="0043571A">
        <w:rPr>
          <w:rFonts w:eastAsia="Calibri" w:cs="Times New Roman"/>
          <w:sz w:val="22"/>
        </w:rPr>
        <w:t>&amp;</w:t>
      </w:r>
      <w:r w:rsidRPr="0043571A">
        <w:rPr>
          <w:rFonts w:eastAsia="Calibri" w:cs="Times New Roman"/>
          <w:sz w:val="22"/>
        </w:rPr>
        <w:t xml:space="preserve"> Madden, C. (Eds.), </w:t>
      </w:r>
      <w:r w:rsidR="006F31D9" w:rsidRPr="0043571A">
        <w:rPr>
          <w:rFonts w:eastAsia="Calibri" w:cs="Times New Roman"/>
          <w:i/>
          <w:iCs/>
          <w:sz w:val="22"/>
        </w:rPr>
        <w:t>Input in second language a</w:t>
      </w:r>
      <w:r w:rsidRPr="0043571A">
        <w:rPr>
          <w:rFonts w:eastAsia="Calibri" w:cs="Times New Roman"/>
          <w:i/>
          <w:iCs/>
          <w:sz w:val="22"/>
        </w:rPr>
        <w:t>cquisition</w:t>
      </w:r>
      <w:r w:rsidRPr="0043571A">
        <w:rPr>
          <w:rFonts w:eastAsia="Calibri" w:cs="Times New Roman"/>
          <w:sz w:val="22"/>
        </w:rPr>
        <w:t xml:space="preserve"> (pp. 235</w:t>
      </w:r>
      <w:r w:rsidR="00A474B1" w:rsidRPr="0043571A">
        <w:rPr>
          <w:rFonts w:eastAsia="Calibri" w:cs="Times New Roman"/>
          <w:sz w:val="22"/>
        </w:rPr>
        <w:t>-256). New York: Newbury House.</w:t>
      </w:r>
    </w:p>
    <w:p w14:paraId="2109BEC6" w14:textId="77777777" w:rsidR="00350962" w:rsidRPr="0043571A" w:rsidRDefault="00350962"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T</w:t>
      </w:r>
      <w:r w:rsidR="00AF1088" w:rsidRPr="0043571A">
        <w:rPr>
          <w:rFonts w:eastAsia="Times New Roman" w:cs="Times New Roman"/>
          <w:sz w:val="22"/>
        </w:rPr>
        <w:t>alebi, F.</w:t>
      </w:r>
      <w:r w:rsidR="00AB58D4" w:rsidRPr="0043571A">
        <w:rPr>
          <w:rFonts w:eastAsia="Times New Roman" w:cs="Times New Roman"/>
          <w:sz w:val="22"/>
        </w:rPr>
        <w:t>,</w:t>
      </w:r>
      <w:r w:rsidR="00AF1088" w:rsidRPr="0043571A">
        <w:rPr>
          <w:rFonts w:eastAsia="Times New Roman" w:cs="Times New Roman"/>
          <w:sz w:val="22"/>
        </w:rPr>
        <w:t xml:space="preserve"> &amp; Sobhani, A. (2012). </w:t>
      </w:r>
      <w:r w:rsidRPr="0043571A">
        <w:rPr>
          <w:rFonts w:eastAsia="Times New Roman" w:cs="Times New Roman"/>
          <w:sz w:val="22"/>
        </w:rPr>
        <w:t>The impacts of cooperati</w:t>
      </w:r>
      <w:r w:rsidR="00AF1088" w:rsidRPr="0043571A">
        <w:rPr>
          <w:rFonts w:eastAsia="Times New Roman" w:cs="Times New Roman"/>
          <w:sz w:val="22"/>
        </w:rPr>
        <w:t>ve learning on oral proficiency.</w:t>
      </w:r>
      <w:r w:rsidRPr="0043571A">
        <w:rPr>
          <w:rFonts w:eastAsia="Times New Roman" w:cs="Times New Roman"/>
          <w:sz w:val="22"/>
        </w:rPr>
        <w:t xml:space="preserve"> </w:t>
      </w:r>
      <w:r w:rsidRPr="0043571A">
        <w:rPr>
          <w:rFonts w:eastAsia="Times New Roman" w:cs="Times New Roman"/>
          <w:i/>
          <w:iCs/>
          <w:sz w:val="22"/>
        </w:rPr>
        <w:t>Mediterranean Journal of Social Sciences, 3,</w:t>
      </w:r>
      <w:r w:rsidRPr="0043571A">
        <w:rPr>
          <w:rFonts w:eastAsia="Times New Roman" w:cs="Times New Roman"/>
          <w:sz w:val="22"/>
        </w:rPr>
        <w:t xml:space="preserve"> 75-79.</w:t>
      </w:r>
      <w:r w:rsidR="00481664" w:rsidRPr="0043571A">
        <w:rPr>
          <w:sz w:val="22"/>
        </w:rPr>
        <w:t xml:space="preserve"> </w:t>
      </w:r>
      <w:r w:rsidR="00481664" w:rsidRPr="0043571A">
        <w:rPr>
          <w:rFonts w:eastAsia="Times New Roman" w:cs="Times New Roman"/>
          <w:sz w:val="22"/>
        </w:rPr>
        <w:t>Doi: 10.1.1.656.2005</w:t>
      </w:r>
    </w:p>
    <w:p w14:paraId="0DE875AB" w14:textId="77777777" w:rsidR="00D653EF" w:rsidRPr="0043571A" w:rsidRDefault="00D653EF" w:rsidP="00E4270D">
      <w:pPr>
        <w:autoSpaceDE w:val="0"/>
        <w:autoSpaceDN w:val="0"/>
        <w:adjustRightInd w:val="0"/>
        <w:spacing w:after="120" w:line="240" w:lineRule="auto"/>
        <w:ind w:left="567" w:hanging="567"/>
        <w:jc w:val="both"/>
        <w:rPr>
          <w:rFonts w:eastAsia="Times New Roman" w:cs="Times New Roman"/>
          <w:sz w:val="22"/>
        </w:rPr>
      </w:pPr>
      <w:r w:rsidRPr="00D653EF">
        <w:rPr>
          <w:rFonts w:eastAsia="Times New Roman" w:cs="Times New Roman"/>
          <w:sz w:val="22"/>
        </w:rPr>
        <w:t xml:space="preserve">Thomas, L. (2012). </w:t>
      </w:r>
      <w:r w:rsidRPr="00D653EF">
        <w:rPr>
          <w:rFonts w:eastAsia="Times New Roman" w:cs="Times New Roman"/>
          <w:i/>
          <w:iCs/>
          <w:sz w:val="22"/>
        </w:rPr>
        <w:t>Building student engagement and belonging in higher education at a time of change: Final report from the What Works? Student retention &amp; success program.</w:t>
      </w:r>
      <w:r w:rsidRPr="00D653EF">
        <w:rPr>
          <w:rFonts w:eastAsia="Times New Roman" w:cs="Times New Roman"/>
          <w:sz w:val="22"/>
        </w:rPr>
        <w:t xml:space="preserve"> York: HE Academy.</w:t>
      </w:r>
    </w:p>
    <w:p w14:paraId="29F6DC64" w14:textId="77777777" w:rsidR="004A3D88" w:rsidRPr="0043571A" w:rsidRDefault="004A3D88"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Tieso, C. (2005).</w:t>
      </w:r>
      <w:r w:rsidR="001F40EC" w:rsidRPr="0043571A">
        <w:rPr>
          <w:rFonts w:eastAsia="Times New Roman" w:cs="Times New Roman"/>
          <w:sz w:val="22"/>
        </w:rPr>
        <w:t xml:space="preserve"> The effects of grouping practices and curricular adjustments on a</w:t>
      </w:r>
      <w:r w:rsidRPr="0043571A">
        <w:rPr>
          <w:rFonts w:eastAsia="Times New Roman" w:cs="Times New Roman"/>
          <w:sz w:val="22"/>
        </w:rPr>
        <w:t xml:space="preserve">chievement. </w:t>
      </w:r>
      <w:r w:rsidRPr="0043571A">
        <w:rPr>
          <w:rFonts w:eastAsia="Times New Roman" w:cs="Times New Roman"/>
          <w:i/>
          <w:iCs/>
          <w:sz w:val="22"/>
        </w:rPr>
        <w:t>Journal for the Education of the Gifted, 29</w:t>
      </w:r>
      <w:r w:rsidRPr="0043571A">
        <w:rPr>
          <w:rFonts w:eastAsia="Times New Roman" w:cs="Times New Roman"/>
          <w:sz w:val="22"/>
        </w:rPr>
        <w:t>, 60-110.</w:t>
      </w:r>
      <w:r w:rsidR="00F46AF2" w:rsidRPr="0043571A">
        <w:rPr>
          <w:sz w:val="22"/>
        </w:rPr>
        <w:t xml:space="preserve"> </w:t>
      </w:r>
      <w:r w:rsidR="006D0FCD" w:rsidRPr="0043571A">
        <w:rPr>
          <w:rFonts w:eastAsia="Times New Roman" w:cs="Times New Roman"/>
          <w:sz w:val="22"/>
        </w:rPr>
        <w:t>doi:</w:t>
      </w:r>
      <w:r w:rsidR="00F46AF2" w:rsidRPr="0043571A">
        <w:rPr>
          <w:rFonts w:eastAsia="Times New Roman" w:cs="Times New Roman"/>
          <w:sz w:val="22"/>
        </w:rPr>
        <w:t xml:space="preserve"> 10.1177/016235320502900104</w:t>
      </w:r>
    </w:p>
    <w:p w14:paraId="7E71B5CD" w14:textId="77777777" w:rsidR="006C32B9" w:rsidRPr="0043571A" w:rsidRDefault="00AB58D4" w:rsidP="00E4270D">
      <w:pPr>
        <w:autoSpaceDE w:val="0"/>
        <w:autoSpaceDN w:val="0"/>
        <w:adjustRightInd w:val="0"/>
        <w:spacing w:after="120" w:line="240" w:lineRule="auto"/>
        <w:ind w:left="567" w:hanging="567"/>
        <w:jc w:val="both"/>
        <w:rPr>
          <w:rFonts w:eastAsia="Calibri" w:cs="Times New Roman"/>
          <w:sz w:val="22"/>
        </w:rPr>
      </w:pPr>
      <w:r w:rsidRPr="00E4270D">
        <w:rPr>
          <w:rFonts w:eastAsia="Times New Roman" w:cs="Times New Roman"/>
          <w:sz w:val="22"/>
        </w:rPr>
        <w:t>Tsao</w:t>
      </w:r>
      <w:r w:rsidRPr="0043571A">
        <w:rPr>
          <w:rFonts w:eastAsia="Calibri" w:cs="Times New Roman"/>
          <w:sz w:val="22"/>
        </w:rPr>
        <w:t>, C. (2003). The i</w:t>
      </w:r>
      <w:r w:rsidR="006C32B9" w:rsidRPr="0043571A">
        <w:rPr>
          <w:rFonts w:eastAsia="Calibri" w:cs="Times New Roman"/>
          <w:sz w:val="22"/>
        </w:rPr>
        <w:t xml:space="preserve">mpact of ability grouping on foreign language learners - A case study. </w:t>
      </w:r>
      <w:r w:rsidR="006C32B9" w:rsidRPr="0043571A">
        <w:rPr>
          <w:rFonts w:eastAsia="Calibri" w:cs="Times New Roman"/>
          <w:i/>
          <w:iCs/>
          <w:sz w:val="22"/>
        </w:rPr>
        <w:t xml:space="preserve">Hong Kong Journal of TEFL. 9, </w:t>
      </w:r>
      <w:r w:rsidR="006C32B9" w:rsidRPr="0043571A">
        <w:rPr>
          <w:rFonts w:eastAsia="Calibri" w:cs="Times New Roman"/>
          <w:sz w:val="22"/>
        </w:rPr>
        <w:t>79-102.</w:t>
      </w:r>
      <w:r w:rsidR="006C32B9" w:rsidRPr="0043571A">
        <w:rPr>
          <w:rFonts w:eastAsia="Calibri" w:cs="Times New Roman"/>
          <w:i/>
          <w:iCs/>
          <w:sz w:val="22"/>
        </w:rPr>
        <w:t xml:space="preserve"> </w:t>
      </w:r>
      <w:r w:rsidR="005D4E43" w:rsidRPr="0043571A">
        <w:rPr>
          <w:rFonts w:eastAsia="Calibri" w:cs="Times New Roman"/>
          <w:sz w:val="22"/>
        </w:rPr>
        <w:t>Retrieved from: http://ir.fy.edu.tw/ir/retrieve/13535</w:t>
      </w:r>
    </w:p>
    <w:p w14:paraId="6B5872A1" w14:textId="77777777" w:rsidR="00D80C43" w:rsidRPr="0043571A" w:rsidRDefault="0065429A" w:rsidP="00E4270D">
      <w:pPr>
        <w:autoSpaceDE w:val="0"/>
        <w:autoSpaceDN w:val="0"/>
        <w:adjustRightInd w:val="0"/>
        <w:spacing w:after="120" w:line="240" w:lineRule="auto"/>
        <w:ind w:left="567" w:hanging="567"/>
        <w:jc w:val="both"/>
        <w:rPr>
          <w:rStyle w:val="Hyperlink"/>
          <w:rFonts w:eastAsia="Times New Roman" w:cs="Times New Roman"/>
          <w:color w:val="auto"/>
          <w:sz w:val="22"/>
          <w:u w:val="none"/>
        </w:rPr>
      </w:pPr>
      <w:r w:rsidRPr="0043571A">
        <w:rPr>
          <w:rFonts w:eastAsia="Times New Roman" w:cs="Times New Roman"/>
          <w:sz w:val="22"/>
        </w:rPr>
        <w:t>W</w:t>
      </w:r>
      <w:r w:rsidR="00330F9E" w:rsidRPr="0043571A">
        <w:rPr>
          <w:rFonts w:eastAsia="Times New Roman" w:cs="Times New Roman"/>
          <w:sz w:val="22"/>
        </w:rPr>
        <w:t>h</w:t>
      </w:r>
      <w:r w:rsidRPr="0043571A">
        <w:rPr>
          <w:rFonts w:eastAsia="Times New Roman" w:cs="Times New Roman"/>
          <w:sz w:val="22"/>
        </w:rPr>
        <w:t xml:space="preserve">itchurch, C. (2013). </w:t>
      </w:r>
      <w:r w:rsidR="001F40EC" w:rsidRPr="0043571A">
        <w:rPr>
          <w:rFonts w:eastAsia="Times New Roman" w:cs="Times New Roman"/>
          <w:sz w:val="22"/>
          <w:lang w:val="en"/>
        </w:rPr>
        <w:t>Engaging s</w:t>
      </w:r>
      <w:r w:rsidRPr="0043571A">
        <w:rPr>
          <w:rFonts w:eastAsia="Times New Roman" w:cs="Times New Roman"/>
          <w:sz w:val="22"/>
          <w:lang w:val="en"/>
        </w:rPr>
        <w:t xml:space="preserve">taff, </w:t>
      </w:r>
      <w:r w:rsidR="001F40EC" w:rsidRPr="0043571A">
        <w:rPr>
          <w:rFonts w:eastAsia="Times New Roman" w:cs="Times New Roman"/>
          <w:sz w:val="22"/>
          <w:lang w:val="en"/>
        </w:rPr>
        <w:t>s</w:t>
      </w:r>
      <w:r w:rsidRPr="0043571A">
        <w:rPr>
          <w:rFonts w:eastAsia="Times New Roman" w:cs="Times New Roman"/>
          <w:sz w:val="22"/>
          <w:lang w:val="en"/>
        </w:rPr>
        <w:t xml:space="preserve">tudents and </w:t>
      </w:r>
      <w:r w:rsidR="001F40EC" w:rsidRPr="0043571A">
        <w:rPr>
          <w:rFonts w:eastAsia="Times New Roman" w:cs="Times New Roman"/>
          <w:sz w:val="22"/>
          <w:lang w:val="en"/>
        </w:rPr>
        <w:t>i</w:t>
      </w:r>
      <w:r w:rsidRPr="0043571A">
        <w:rPr>
          <w:rFonts w:eastAsia="Times New Roman" w:cs="Times New Roman"/>
          <w:sz w:val="22"/>
          <w:lang w:val="en"/>
        </w:rPr>
        <w:t xml:space="preserve">nstitutions. </w:t>
      </w:r>
      <w:r w:rsidR="001F40EC" w:rsidRPr="0043571A">
        <w:rPr>
          <w:rFonts w:eastAsia="Times New Roman" w:cs="Times New Roman"/>
          <w:i/>
          <w:iCs/>
          <w:sz w:val="22"/>
          <w:lang w:val="en"/>
        </w:rPr>
        <w:t>Higher Education Quarterly,</w:t>
      </w:r>
      <w:r w:rsidRPr="0043571A">
        <w:rPr>
          <w:rFonts w:eastAsia="Times New Roman" w:cs="Times New Roman"/>
          <w:i/>
          <w:iCs/>
          <w:sz w:val="22"/>
          <w:lang w:val="en"/>
        </w:rPr>
        <w:t xml:space="preserve"> 67</w:t>
      </w:r>
      <w:r w:rsidR="0096305B" w:rsidRPr="0043571A">
        <w:rPr>
          <w:rFonts w:eastAsia="Times New Roman" w:cs="Times New Roman"/>
          <w:sz w:val="22"/>
          <w:lang w:val="en"/>
        </w:rPr>
        <w:t>(</w:t>
      </w:r>
      <w:r w:rsidRPr="0043571A">
        <w:rPr>
          <w:rFonts w:eastAsia="Times New Roman" w:cs="Times New Roman"/>
          <w:sz w:val="22"/>
          <w:lang w:val="en"/>
        </w:rPr>
        <w:t>4</w:t>
      </w:r>
      <w:r w:rsidR="0096305B" w:rsidRPr="0043571A">
        <w:rPr>
          <w:rFonts w:eastAsia="Times New Roman" w:cs="Times New Roman"/>
          <w:sz w:val="22"/>
          <w:lang w:val="en"/>
        </w:rPr>
        <w:t>)</w:t>
      </w:r>
      <w:r w:rsidRPr="0043571A">
        <w:rPr>
          <w:rFonts w:eastAsia="Times New Roman" w:cs="Times New Roman"/>
          <w:sz w:val="22"/>
          <w:lang w:val="en"/>
        </w:rPr>
        <w:t>.</w:t>
      </w:r>
      <w:r w:rsidRPr="0043571A">
        <w:rPr>
          <w:rFonts w:eastAsia="Times New Roman" w:cs="Times New Roman"/>
          <w:i/>
          <w:iCs/>
          <w:sz w:val="22"/>
          <w:lang w:val="en"/>
        </w:rPr>
        <w:t xml:space="preserve"> </w:t>
      </w:r>
      <w:r w:rsidRPr="0043571A">
        <w:rPr>
          <w:rFonts w:eastAsia="Times New Roman" w:cs="Times New Roman"/>
          <w:sz w:val="22"/>
          <w:lang w:val="en"/>
        </w:rPr>
        <w:t>313-314.</w:t>
      </w:r>
      <w:r w:rsidR="00D80C43" w:rsidRPr="0043571A">
        <w:rPr>
          <w:rFonts w:ascii="Arial" w:eastAsia="Times New Roman" w:hAnsi="Arial" w:cs="Arial"/>
          <w:sz w:val="22"/>
          <w:lang w:bidi="fa-IR"/>
        </w:rPr>
        <w:t xml:space="preserve"> </w:t>
      </w:r>
      <w:hyperlink r:id="rId23" w:history="1">
        <w:r w:rsidR="00D80C43" w:rsidRPr="0043571A">
          <w:rPr>
            <w:rStyle w:val="Hyperlink"/>
            <w:rFonts w:eastAsia="Times New Roman" w:cs="Times New Roman"/>
            <w:color w:val="auto"/>
            <w:sz w:val="22"/>
            <w:u w:val="none"/>
          </w:rPr>
          <w:t>doi: 10.1111/hequ.12025</w:t>
        </w:r>
      </w:hyperlink>
    </w:p>
    <w:p w14:paraId="3B327FC0" w14:textId="77777777" w:rsidR="00630149" w:rsidRPr="0043571A" w:rsidRDefault="00630149" w:rsidP="00E4270D">
      <w:pPr>
        <w:autoSpaceDE w:val="0"/>
        <w:autoSpaceDN w:val="0"/>
        <w:adjustRightInd w:val="0"/>
        <w:spacing w:after="120" w:line="240" w:lineRule="auto"/>
        <w:ind w:left="567" w:hanging="567"/>
        <w:jc w:val="both"/>
        <w:rPr>
          <w:rFonts w:eastAsia="Times New Roman" w:cs="Times New Roman"/>
          <w:sz w:val="22"/>
        </w:rPr>
      </w:pPr>
      <w:r w:rsidRPr="0043571A">
        <w:rPr>
          <w:rFonts w:eastAsia="Times New Roman" w:cs="Times New Roman"/>
          <w:sz w:val="22"/>
        </w:rPr>
        <w:t xml:space="preserve">Zafar, S &amp; Meenakshi, K. (2012). Individual learner differences and second language acquisition: A review. </w:t>
      </w:r>
      <w:r w:rsidRPr="0043571A">
        <w:rPr>
          <w:rFonts w:eastAsia="Times New Roman" w:cs="Times New Roman"/>
          <w:i/>
          <w:iCs/>
          <w:sz w:val="22"/>
        </w:rPr>
        <w:t>Journal of Language Teaching and Research, 3</w:t>
      </w:r>
      <w:r w:rsidRPr="0043571A">
        <w:rPr>
          <w:rFonts w:eastAsia="Times New Roman" w:cs="Times New Roman"/>
          <w:sz w:val="22"/>
        </w:rPr>
        <w:t>(4), pp. 639-646. doi:10.4304/jltr.3.4.639-646</w:t>
      </w:r>
    </w:p>
    <w:p w14:paraId="2327E559" w14:textId="0E3CFC69" w:rsidR="00214833" w:rsidRPr="0043571A" w:rsidRDefault="009E0148" w:rsidP="00661764">
      <w:pPr>
        <w:autoSpaceDE w:val="0"/>
        <w:autoSpaceDN w:val="0"/>
        <w:adjustRightInd w:val="0"/>
        <w:spacing w:after="120" w:line="240" w:lineRule="auto"/>
        <w:ind w:left="567" w:hanging="567"/>
        <w:jc w:val="both"/>
        <w:rPr>
          <w:sz w:val="22"/>
        </w:rPr>
      </w:pPr>
      <w:r w:rsidRPr="0043571A">
        <w:rPr>
          <w:rFonts w:eastAsia="Times New Roman" w:cs="Times New Roman"/>
          <w:sz w:val="22"/>
        </w:rPr>
        <w:t xml:space="preserve">Zamani, M. (2016). </w:t>
      </w:r>
      <w:r w:rsidRPr="0043571A">
        <w:rPr>
          <w:rFonts w:eastAsia="Times New Roman" w:cs="Times New Roman"/>
          <w:sz w:val="22"/>
          <w:lang w:val="en"/>
        </w:rPr>
        <w:t xml:space="preserve">Cooperative learning: Homogeneous and heterogeneous grouping of Iranian EFL learners in a writing context. </w:t>
      </w:r>
      <w:r w:rsidRPr="0043571A">
        <w:rPr>
          <w:rFonts w:eastAsia="Times New Roman" w:cs="Times New Roman"/>
          <w:i/>
          <w:iCs/>
          <w:sz w:val="22"/>
          <w:lang w:val="en"/>
        </w:rPr>
        <w:t>Cogent Education.</w:t>
      </w:r>
      <w:r w:rsidR="0097346F" w:rsidRPr="0043571A">
        <w:rPr>
          <w:rFonts w:eastAsia="Times New Roman" w:cs="Times New Roman"/>
          <w:i/>
          <w:iCs/>
          <w:sz w:val="22"/>
          <w:lang w:val="en"/>
        </w:rPr>
        <w:t xml:space="preserve"> 3(</w:t>
      </w:r>
      <w:r w:rsidRPr="0043571A">
        <w:rPr>
          <w:rFonts w:eastAsia="Times New Roman" w:cs="Times New Roman"/>
          <w:i/>
          <w:iCs/>
          <w:sz w:val="22"/>
          <w:lang w:val="en"/>
        </w:rPr>
        <w:t>1</w:t>
      </w:r>
      <w:r w:rsidR="0097346F" w:rsidRPr="0043571A">
        <w:rPr>
          <w:rFonts w:eastAsia="Calibri" w:cs="Times New Roman"/>
          <w:i/>
          <w:iCs/>
          <w:sz w:val="22"/>
        </w:rPr>
        <w:t>).</w:t>
      </w:r>
      <w:r w:rsidR="00AB58D4" w:rsidRPr="0043571A">
        <w:rPr>
          <w:rFonts w:eastAsia="Calibri" w:cs="Times New Roman"/>
          <w:sz w:val="22"/>
        </w:rPr>
        <w:t xml:space="preserve"> d</w:t>
      </w:r>
      <w:r w:rsidR="004C1378" w:rsidRPr="0043571A">
        <w:rPr>
          <w:rFonts w:eastAsia="Calibri" w:cs="Times New Roman"/>
          <w:sz w:val="22"/>
        </w:rPr>
        <w:t>oi: 10.1080/2331186X.2016.1149959</w:t>
      </w:r>
    </w:p>
    <w:sectPr w:rsidR="00214833" w:rsidRPr="0043571A" w:rsidSect="00684DCB">
      <w:headerReference w:type="default" r:id="rId24"/>
      <w:footerReference w:type="default" r:id="rId25"/>
      <w:pgSz w:w="12240" w:h="15840"/>
      <w:pgMar w:top="1440" w:right="1440" w:bottom="1440" w:left="1440" w:header="720" w:footer="720" w:gutter="0"/>
      <w:pgNumType w:start="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9E07" w14:textId="77777777" w:rsidR="00515C51" w:rsidRDefault="00515C51" w:rsidP="002A4BD1">
      <w:pPr>
        <w:spacing w:after="0" w:line="240" w:lineRule="auto"/>
      </w:pPr>
      <w:r>
        <w:separator/>
      </w:r>
    </w:p>
  </w:endnote>
  <w:endnote w:type="continuationSeparator" w:id="0">
    <w:p w14:paraId="79230250" w14:textId="77777777" w:rsidR="00515C51" w:rsidRDefault="00515C51" w:rsidP="002A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0143"/>
      <w:docPartObj>
        <w:docPartGallery w:val="Page Numbers (Bottom of Page)"/>
        <w:docPartUnique/>
      </w:docPartObj>
    </w:sdtPr>
    <w:sdtEndPr>
      <w:rPr>
        <w:noProof/>
      </w:rPr>
    </w:sdtEndPr>
    <w:sdtContent>
      <w:p w14:paraId="21ECA096" w14:textId="64ADB378" w:rsidR="00484CC1" w:rsidRDefault="00484CC1">
        <w:pPr>
          <w:pStyle w:val="Footer"/>
          <w:jc w:val="center"/>
        </w:pPr>
        <w:r>
          <w:fldChar w:fldCharType="begin"/>
        </w:r>
        <w:r>
          <w:instrText xml:space="preserve"> PAGE   \* MERGEFORMAT </w:instrText>
        </w:r>
        <w:r>
          <w:fldChar w:fldCharType="separate"/>
        </w:r>
        <w:r w:rsidR="00684DCB">
          <w:rPr>
            <w:noProof/>
          </w:rPr>
          <w:t>89</w:t>
        </w:r>
        <w:r>
          <w:rPr>
            <w:noProof/>
          </w:rPr>
          <w:fldChar w:fldCharType="end"/>
        </w:r>
      </w:p>
    </w:sdtContent>
  </w:sdt>
  <w:p w14:paraId="09771FE7" w14:textId="77777777" w:rsidR="00295A95" w:rsidRDefault="00295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7B53B" w14:textId="77777777" w:rsidR="00515C51" w:rsidRDefault="00515C51" w:rsidP="002A4BD1">
      <w:pPr>
        <w:spacing w:after="0" w:line="240" w:lineRule="auto"/>
      </w:pPr>
      <w:r>
        <w:separator/>
      </w:r>
    </w:p>
  </w:footnote>
  <w:footnote w:type="continuationSeparator" w:id="0">
    <w:p w14:paraId="19CB2903" w14:textId="77777777" w:rsidR="00515C51" w:rsidRDefault="00515C51" w:rsidP="002A4BD1">
      <w:pPr>
        <w:spacing w:after="0" w:line="240" w:lineRule="auto"/>
      </w:pPr>
      <w:r>
        <w:continuationSeparator/>
      </w:r>
    </w:p>
  </w:footnote>
  <w:footnote w:id="1">
    <w:p w14:paraId="29269D86" w14:textId="39FCBDCB" w:rsidR="00295A95" w:rsidRPr="00CE34DD" w:rsidRDefault="00295A95" w:rsidP="00295A95">
      <w:pPr>
        <w:spacing w:line="200" w:lineRule="atLeast"/>
        <w:jc w:val="both"/>
        <w:rPr>
          <w:rFonts w:cs="Times New Roman"/>
          <w:color w:val="0563C1" w:themeColor="hyperlink"/>
          <w:sz w:val="20"/>
          <w:szCs w:val="20"/>
          <w:u w:val="single"/>
        </w:rPr>
      </w:pPr>
      <w:r w:rsidRPr="00CE34DD">
        <w:rPr>
          <w:rStyle w:val="FootnoteReference"/>
          <w:rFonts w:cs="Times New Roman"/>
          <w:sz w:val="20"/>
          <w:szCs w:val="20"/>
        </w:rPr>
        <w:footnoteRef/>
      </w:r>
      <w:r w:rsidRPr="00CE34DD">
        <w:rPr>
          <w:rFonts w:cs="Times New Roman"/>
          <w:sz w:val="20"/>
          <w:szCs w:val="20"/>
        </w:rPr>
        <w:t xml:space="preserve"> PhD candidate of TEFL, </w:t>
      </w:r>
      <w:r w:rsidRPr="00CE34DD">
        <w:rPr>
          <w:rFonts w:cs="Times New Roman"/>
          <w:color w:val="0563C1" w:themeColor="hyperlink"/>
          <w:sz w:val="20"/>
          <w:szCs w:val="20"/>
          <w:u w:val="single"/>
        </w:rPr>
        <w:t>ssattarb@gmail.com</w:t>
      </w:r>
      <w:r w:rsidRPr="00CE34DD">
        <w:rPr>
          <w:rFonts w:cs="Times New Roman"/>
          <w:sz w:val="20"/>
          <w:szCs w:val="20"/>
        </w:rPr>
        <w:t>; Department</w:t>
      </w:r>
      <w:r>
        <w:rPr>
          <w:rFonts w:cs="Times New Roman"/>
          <w:sz w:val="20"/>
          <w:szCs w:val="20"/>
        </w:rPr>
        <w:t xml:space="preserve"> of English</w:t>
      </w:r>
      <w:r w:rsidRPr="00CE34DD">
        <w:rPr>
          <w:rFonts w:cs="Times New Roman"/>
          <w:sz w:val="20"/>
          <w:szCs w:val="20"/>
        </w:rPr>
        <w:t xml:space="preserve">, Isfahan </w:t>
      </w:r>
      <w:r w:rsidRPr="00253593">
        <w:rPr>
          <w:rFonts w:cs="Times New Roman"/>
          <w:sz w:val="20"/>
          <w:szCs w:val="20"/>
        </w:rPr>
        <w:t>(Khorasgan) Branch, Islamic Azad Universit</w:t>
      </w:r>
      <w:r>
        <w:rPr>
          <w:rFonts w:cs="Times New Roman"/>
          <w:sz w:val="20"/>
          <w:szCs w:val="20"/>
        </w:rPr>
        <w:t xml:space="preserve">y, Isfahan, Iran </w:t>
      </w:r>
    </w:p>
  </w:footnote>
  <w:footnote w:id="2">
    <w:p w14:paraId="4975DB0C" w14:textId="141403DC" w:rsidR="00295A95" w:rsidRPr="00CE34DD" w:rsidRDefault="00295A95" w:rsidP="00295A95">
      <w:pPr>
        <w:spacing w:line="200" w:lineRule="atLeast"/>
        <w:jc w:val="both"/>
        <w:rPr>
          <w:rFonts w:cs="Times New Roman"/>
          <w:color w:val="0563C1" w:themeColor="hyperlink"/>
          <w:sz w:val="20"/>
          <w:szCs w:val="20"/>
          <w:u w:val="single"/>
        </w:rPr>
      </w:pPr>
      <w:r w:rsidRPr="00295A95">
        <w:rPr>
          <w:rStyle w:val="FootnoteReference"/>
        </w:rPr>
        <w:footnoteRef/>
      </w:r>
      <w:r w:rsidRPr="00CE34DD">
        <w:rPr>
          <w:rFonts w:cs="Times New Roman"/>
          <w:sz w:val="20"/>
          <w:szCs w:val="20"/>
        </w:rPr>
        <w:t xml:space="preserve"> Associate professor, </w:t>
      </w:r>
      <w:hyperlink r:id="rId1" w:history="1">
        <w:r w:rsidRPr="00CE34DD">
          <w:rPr>
            <w:rStyle w:val="Hyperlink"/>
            <w:rFonts w:cs="Times New Roman"/>
            <w:sz w:val="20"/>
            <w:szCs w:val="20"/>
          </w:rPr>
          <w:t>azichalak@gmail.com</w:t>
        </w:r>
      </w:hyperlink>
      <w:r w:rsidRPr="00CE34DD">
        <w:rPr>
          <w:rStyle w:val="Hyperlink"/>
          <w:rFonts w:cs="Times New Roman"/>
          <w:sz w:val="20"/>
          <w:szCs w:val="20"/>
        </w:rPr>
        <w:t>;</w:t>
      </w:r>
      <w:r w:rsidRPr="00CE34DD">
        <w:rPr>
          <w:rFonts w:cs="Times New Roman"/>
          <w:sz w:val="20"/>
          <w:szCs w:val="20"/>
        </w:rPr>
        <w:t xml:space="preserve"> Department</w:t>
      </w:r>
      <w:r>
        <w:rPr>
          <w:rFonts w:cs="Times New Roman"/>
          <w:sz w:val="20"/>
          <w:szCs w:val="20"/>
        </w:rPr>
        <w:t xml:space="preserve"> of English</w:t>
      </w:r>
      <w:r w:rsidRPr="00CE34DD">
        <w:rPr>
          <w:rFonts w:cs="Times New Roman"/>
          <w:sz w:val="20"/>
          <w:szCs w:val="20"/>
        </w:rPr>
        <w:t xml:space="preserve">, </w:t>
      </w:r>
      <w:r w:rsidRPr="00253593">
        <w:rPr>
          <w:rFonts w:cs="Times New Roman"/>
          <w:sz w:val="20"/>
          <w:szCs w:val="20"/>
        </w:rPr>
        <w:t>Isfahan (Khorasgan) Branch</w:t>
      </w:r>
      <w:r w:rsidRPr="00CE34DD">
        <w:rPr>
          <w:rFonts w:cs="Times New Roman"/>
          <w:sz w:val="20"/>
          <w:szCs w:val="20"/>
        </w:rPr>
        <w:t>, Islamic Azad University, Isfahan, Iran</w:t>
      </w:r>
    </w:p>
  </w:footnote>
  <w:footnote w:id="3">
    <w:p w14:paraId="04000D16" w14:textId="752C364D" w:rsidR="00295A95" w:rsidRPr="00CE34DD" w:rsidRDefault="00295A95" w:rsidP="00295A95">
      <w:pPr>
        <w:spacing w:line="200" w:lineRule="atLeast"/>
        <w:jc w:val="both"/>
        <w:rPr>
          <w:rFonts w:cs="Times New Roman"/>
          <w:color w:val="0563C1" w:themeColor="hyperlink"/>
          <w:sz w:val="20"/>
          <w:szCs w:val="20"/>
          <w:u w:val="single"/>
        </w:rPr>
      </w:pPr>
      <w:r w:rsidRPr="00295A95">
        <w:rPr>
          <w:rStyle w:val="FootnoteReference"/>
        </w:rPr>
        <w:footnoteRef/>
      </w:r>
      <w:r w:rsidRPr="00CE34DD">
        <w:rPr>
          <w:rFonts w:cs="Times New Roman"/>
          <w:sz w:val="20"/>
          <w:szCs w:val="20"/>
        </w:rPr>
        <w:t xml:space="preserve"> Associate Professor, </w:t>
      </w:r>
      <w:hyperlink r:id="rId2" w:history="1">
        <w:r w:rsidRPr="00CE34DD">
          <w:rPr>
            <w:rStyle w:val="Hyperlink"/>
            <w:rFonts w:cs="Times New Roman"/>
            <w:sz w:val="20"/>
            <w:szCs w:val="20"/>
          </w:rPr>
          <w:t>heidaritabrizi@gmail.com</w:t>
        </w:r>
      </w:hyperlink>
      <w:r w:rsidRPr="00CE34DD">
        <w:rPr>
          <w:rFonts w:cs="Times New Roman"/>
          <w:sz w:val="20"/>
          <w:szCs w:val="20"/>
        </w:rPr>
        <w:t>; Department</w:t>
      </w:r>
      <w:r>
        <w:rPr>
          <w:rFonts w:cs="Times New Roman"/>
          <w:sz w:val="20"/>
          <w:szCs w:val="20"/>
        </w:rPr>
        <w:t xml:space="preserve"> of English</w:t>
      </w:r>
      <w:r w:rsidRPr="00CE34DD">
        <w:rPr>
          <w:rFonts w:cs="Times New Roman"/>
          <w:sz w:val="20"/>
          <w:szCs w:val="20"/>
        </w:rPr>
        <w:t xml:space="preserve">, </w:t>
      </w:r>
      <w:r w:rsidRPr="00253593">
        <w:rPr>
          <w:rFonts w:cs="Times New Roman"/>
          <w:sz w:val="20"/>
          <w:szCs w:val="20"/>
        </w:rPr>
        <w:t>Isfahan (Khorasgan) Branch</w:t>
      </w:r>
      <w:r w:rsidRPr="00CE34DD">
        <w:rPr>
          <w:rFonts w:cs="Times New Roman"/>
          <w:sz w:val="20"/>
          <w:szCs w:val="20"/>
        </w:rPr>
        <w:t>, Islamic Azad University, Isfahan, Iran</w:t>
      </w:r>
    </w:p>
    <w:p w14:paraId="49612C22" w14:textId="4EE360A9" w:rsidR="00295A95" w:rsidRPr="00E93D2F" w:rsidRDefault="00295A95" w:rsidP="000D3102">
      <w:pPr>
        <w:spacing w:line="200" w:lineRule="atLeast"/>
        <w:rPr>
          <w:rFonts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CCBA7" w14:textId="77777777" w:rsidR="00295A95" w:rsidRPr="00295A95" w:rsidRDefault="00295A95" w:rsidP="00295A95">
    <w:pPr>
      <w:tabs>
        <w:tab w:val="center" w:pos="4680"/>
        <w:tab w:val="right" w:pos="9360"/>
      </w:tabs>
      <w:spacing w:after="0" w:line="240" w:lineRule="auto"/>
      <w:jc w:val="center"/>
      <w:rPr>
        <w:rFonts w:eastAsia="Times New Roman" w:cs="Times New Roman"/>
        <w:b/>
        <w:bCs/>
        <w:sz w:val="22"/>
      </w:rPr>
    </w:pPr>
    <w:r w:rsidRPr="00295A95">
      <w:rPr>
        <w:rFonts w:eastAsia="Times New Roman" w:cs="Times New Roman"/>
        <w:b/>
        <w:bCs/>
        <w:sz w:val="22"/>
      </w:rPr>
      <w:t>Chabahar Maritime University</w:t>
    </w:r>
  </w:p>
  <w:p w14:paraId="316D8E46" w14:textId="77777777" w:rsidR="00295A95" w:rsidRPr="00295A95" w:rsidRDefault="00295A95" w:rsidP="00295A95">
    <w:pPr>
      <w:tabs>
        <w:tab w:val="center" w:pos="4680"/>
        <w:tab w:val="right" w:pos="9360"/>
      </w:tabs>
      <w:spacing w:after="0" w:line="240" w:lineRule="auto"/>
      <w:jc w:val="center"/>
      <w:rPr>
        <w:rFonts w:eastAsia="Times New Roman" w:cs="Times New Roman"/>
        <w:b/>
        <w:bCs/>
        <w:sz w:val="22"/>
      </w:rPr>
    </w:pPr>
  </w:p>
  <w:p w14:paraId="52F7EDA4" w14:textId="77777777" w:rsidR="00295A95" w:rsidRPr="00295A95" w:rsidRDefault="00295A95" w:rsidP="00295A95">
    <w:pPr>
      <w:tabs>
        <w:tab w:val="center" w:pos="4680"/>
        <w:tab w:val="right" w:pos="9360"/>
      </w:tabs>
      <w:spacing w:after="0" w:line="240" w:lineRule="auto"/>
      <w:rPr>
        <w:rFonts w:eastAsia="Times New Roman" w:cs="Times New Roman"/>
        <w:sz w:val="22"/>
      </w:rPr>
    </w:pPr>
    <w:r w:rsidRPr="00295A95">
      <w:rPr>
        <w:rFonts w:eastAsia="Times New Roman" w:cs="Times New Roman"/>
        <w:b/>
        <w:bCs/>
        <w:szCs w:val="24"/>
      </w:rPr>
      <w:t xml:space="preserve">Iranian Journal of English for Academic Purposes </w:t>
    </w:r>
    <w:r w:rsidRPr="00295A95">
      <w:rPr>
        <w:rFonts w:eastAsia="Times New Roman" w:cs="Times New Roman"/>
        <w:b/>
        <w:bCs/>
        <w:szCs w:val="24"/>
      </w:rPr>
      <w:tab/>
    </w:r>
    <w:r w:rsidRPr="00295A95">
      <w:rPr>
        <w:rFonts w:eastAsia="Times New Roman" w:cs="Times New Roman"/>
        <w:sz w:val="20"/>
        <w:szCs w:val="20"/>
      </w:rPr>
      <w:t>ISSN: 2476-3187</w:t>
    </w:r>
    <w:r w:rsidRPr="00295A95">
      <w:rPr>
        <w:rFonts w:eastAsia="Times New Roman" w:cs="Times New Roman"/>
        <w:sz w:val="22"/>
      </w:rPr>
      <w:t xml:space="preserve"> </w:t>
    </w:r>
  </w:p>
  <w:p w14:paraId="0C64A118" w14:textId="77777777" w:rsidR="00295A95" w:rsidRPr="00295A95" w:rsidRDefault="00295A95" w:rsidP="00295A95">
    <w:pPr>
      <w:tabs>
        <w:tab w:val="center" w:pos="4680"/>
        <w:tab w:val="right" w:pos="9360"/>
      </w:tabs>
      <w:spacing w:after="0" w:line="240" w:lineRule="auto"/>
      <w:rPr>
        <w:rFonts w:eastAsia="Times New Roman" w:cs="Times New Roman"/>
        <w:sz w:val="18"/>
        <w:szCs w:val="18"/>
      </w:rPr>
    </w:pPr>
    <w:r w:rsidRPr="00295A95">
      <w:rPr>
        <w:rFonts w:eastAsia="Times New Roman" w:cs="Times New Roman"/>
        <w:sz w:val="18"/>
        <w:szCs w:val="18"/>
      </w:rPr>
      <w:t>IJEAP, 2018, 7(2)</w:t>
    </w:r>
    <w:r w:rsidRPr="00295A95">
      <w:rPr>
        <w:rFonts w:eastAsia="Times New Roman" w:cs="Times New Roman"/>
        <w:sz w:val="18"/>
        <w:szCs w:val="18"/>
      </w:rPr>
      <w:tab/>
    </w:r>
    <w:r w:rsidRPr="00295A95">
      <w:rPr>
        <w:rFonts w:eastAsia="Times New Roman" w:cs="Times New Roman"/>
        <w:sz w:val="18"/>
        <w:szCs w:val="18"/>
      </w:rPr>
      <w:tab/>
      <w:t>(Previously Published under the Title: Maritime English Journal)</w:t>
    </w:r>
  </w:p>
  <w:p w14:paraId="5999CCBB" w14:textId="77777777" w:rsidR="00295A95" w:rsidRDefault="00295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713D"/>
    <w:multiLevelType w:val="hybridMultilevel"/>
    <w:tmpl w:val="B25AA9F4"/>
    <w:lvl w:ilvl="0" w:tplc="8882800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75B20E02"/>
    <w:multiLevelType w:val="multilevel"/>
    <w:tmpl w:val="4FF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010A"/>
    <w:rsid w:val="00006F5A"/>
    <w:rsid w:val="000076D7"/>
    <w:rsid w:val="0001646F"/>
    <w:rsid w:val="00020EFE"/>
    <w:rsid w:val="000211FC"/>
    <w:rsid w:val="0002228C"/>
    <w:rsid w:val="00022AE3"/>
    <w:rsid w:val="00024A07"/>
    <w:rsid w:val="00025364"/>
    <w:rsid w:val="00031C0D"/>
    <w:rsid w:val="000433D9"/>
    <w:rsid w:val="00043AEE"/>
    <w:rsid w:val="000458CF"/>
    <w:rsid w:val="00046F20"/>
    <w:rsid w:val="00051199"/>
    <w:rsid w:val="00054489"/>
    <w:rsid w:val="0006083B"/>
    <w:rsid w:val="00063352"/>
    <w:rsid w:val="000657AF"/>
    <w:rsid w:val="00070AC1"/>
    <w:rsid w:val="00072C55"/>
    <w:rsid w:val="00075A88"/>
    <w:rsid w:val="00083C78"/>
    <w:rsid w:val="00086646"/>
    <w:rsid w:val="00091112"/>
    <w:rsid w:val="0009458D"/>
    <w:rsid w:val="000948BB"/>
    <w:rsid w:val="00094E93"/>
    <w:rsid w:val="00096E9C"/>
    <w:rsid w:val="000A1225"/>
    <w:rsid w:val="000A276B"/>
    <w:rsid w:val="000A6952"/>
    <w:rsid w:val="000B0977"/>
    <w:rsid w:val="000B7A95"/>
    <w:rsid w:val="000C1B07"/>
    <w:rsid w:val="000C2F99"/>
    <w:rsid w:val="000C2FF9"/>
    <w:rsid w:val="000C6EE3"/>
    <w:rsid w:val="000D1047"/>
    <w:rsid w:val="000D3102"/>
    <w:rsid w:val="000D35DC"/>
    <w:rsid w:val="000E568E"/>
    <w:rsid w:val="000E7C56"/>
    <w:rsid w:val="000F06F5"/>
    <w:rsid w:val="001056D4"/>
    <w:rsid w:val="00110E82"/>
    <w:rsid w:val="001129C3"/>
    <w:rsid w:val="001132F9"/>
    <w:rsid w:val="00113FEA"/>
    <w:rsid w:val="00115EDC"/>
    <w:rsid w:val="00121766"/>
    <w:rsid w:val="001234C5"/>
    <w:rsid w:val="00126615"/>
    <w:rsid w:val="00126EFA"/>
    <w:rsid w:val="0012799C"/>
    <w:rsid w:val="00130C6D"/>
    <w:rsid w:val="00134700"/>
    <w:rsid w:val="001375EF"/>
    <w:rsid w:val="00143936"/>
    <w:rsid w:val="001462A5"/>
    <w:rsid w:val="001466A5"/>
    <w:rsid w:val="00146C86"/>
    <w:rsid w:val="00150EFD"/>
    <w:rsid w:val="00151610"/>
    <w:rsid w:val="00151BFE"/>
    <w:rsid w:val="00152BB1"/>
    <w:rsid w:val="00152E30"/>
    <w:rsid w:val="00153072"/>
    <w:rsid w:val="00156B1C"/>
    <w:rsid w:val="001606FF"/>
    <w:rsid w:val="00160947"/>
    <w:rsid w:val="0016457E"/>
    <w:rsid w:val="00165E68"/>
    <w:rsid w:val="00171B83"/>
    <w:rsid w:val="00183650"/>
    <w:rsid w:val="0018473D"/>
    <w:rsid w:val="0018510A"/>
    <w:rsid w:val="00187C6F"/>
    <w:rsid w:val="00191F20"/>
    <w:rsid w:val="001956D7"/>
    <w:rsid w:val="001A4CC7"/>
    <w:rsid w:val="001A5353"/>
    <w:rsid w:val="001A59E7"/>
    <w:rsid w:val="001A6AEB"/>
    <w:rsid w:val="001B4B13"/>
    <w:rsid w:val="001C175A"/>
    <w:rsid w:val="001D1EF8"/>
    <w:rsid w:val="001D490C"/>
    <w:rsid w:val="001D5F0A"/>
    <w:rsid w:val="001D6568"/>
    <w:rsid w:val="001E1718"/>
    <w:rsid w:val="001E3214"/>
    <w:rsid w:val="001E6206"/>
    <w:rsid w:val="001E677A"/>
    <w:rsid w:val="001F1C25"/>
    <w:rsid w:val="001F23FB"/>
    <w:rsid w:val="001F2F54"/>
    <w:rsid w:val="001F333F"/>
    <w:rsid w:val="001F40EC"/>
    <w:rsid w:val="001F5879"/>
    <w:rsid w:val="00200B75"/>
    <w:rsid w:val="00201FCC"/>
    <w:rsid w:val="0020701A"/>
    <w:rsid w:val="00210C26"/>
    <w:rsid w:val="00213DD8"/>
    <w:rsid w:val="00214833"/>
    <w:rsid w:val="00214E6A"/>
    <w:rsid w:val="00215877"/>
    <w:rsid w:val="0021794C"/>
    <w:rsid w:val="00221A17"/>
    <w:rsid w:val="00224880"/>
    <w:rsid w:val="0023009C"/>
    <w:rsid w:val="002303D8"/>
    <w:rsid w:val="002317B7"/>
    <w:rsid w:val="002317BA"/>
    <w:rsid w:val="0023222E"/>
    <w:rsid w:val="00233542"/>
    <w:rsid w:val="002347BD"/>
    <w:rsid w:val="00237C67"/>
    <w:rsid w:val="00241922"/>
    <w:rsid w:val="002439F9"/>
    <w:rsid w:val="00243C8A"/>
    <w:rsid w:val="00244B27"/>
    <w:rsid w:val="00246B56"/>
    <w:rsid w:val="00247183"/>
    <w:rsid w:val="002476DE"/>
    <w:rsid w:val="00252CD8"/>
    <w:rsid w:val="00253593"/>
    <w:rsid w:val="002542CF"/>
    <w:rsid w:val="00256FF2"/>
    <w:rsid w:val="00264A92"/>
    <w:rsid w:val="00264CB7"/>
    <w:rsid w:val="00265920"/>
    <w:rsid w:val="00267018"/>
    <w:rsid w:val="00270331"/>
    <w:rsid w:val="002733C6"/>
    <w:rsid w:val="002754C8"/>
    <w:rsid w:val="00276BCA"/>
    <w:rsid w:val="002809BA"/>
    <w:rsid w:val="00280F1A"/>
    <w:rsid w:val="002810AD"/>
    <w:rsid w:val="00281BF7"/>
    <w:rsid w:val="00282140"/>
    <w:rsid w:val="00282AB5"/>
    <w:rsid w:val="00291C2F"/>
    <w:rsid w:val="00292839"/>
    <w:rsid w:val="00292BB4"/>
    <w:rsid w:val="0029333A"/>
    <w:rsid w:val="002955A9"/>
    <w:rsid w:val="00295A95"/>
    <w:rsid w:val="00296283"/>
    <w:rsid w:val="00296739"/>
    <w:rsid w:val="002A08E4"/>
    <w:rsid w:val="002A2A8F"/>
    <w:rsid w:val="002A4940"/>
    <w:rsid w:val="002A4BD1"/>
    <w:rsid w:val="002A4C7E"/>
    <w:rsid w:val="002A778D"/>
    <w:rsid w:val="002B0EB1"/>
    <w:rsid w:val="002B71E7"/>
    <w:rsid w:val="002C7041"/>
    <w:rsid w:val="002D237C"/>
    <w:rsid w:val="002D4EA4"/>
    <w:rsid w:val="002D6096"/>
    <w:rsid w:val="002D6260"/>
    <w:rsid w:val="002D7C86"/>
    <w:rsid w:val="002E4B52"/>
    <w:rsid w:val="002E74E3"/>
    <w:rsid w:val="002F22F0"/>
    <w:rsid w:val="002F44A5"/>
    <w:rsid w:val="002F6F17"/>
    <w:rsid w:val="003003A7"/>
    <w:rsid w:val="00302318"/>
    <w:rsid w:val="00304730"/>
    <w:rsid w:val="00306DA9"/>
    <w:rsid w:val="00312F01"/>
    <w:rsid w:val="00313F5C"/>
    <w:rsid w:val="003153E2"/>
    <w:rsid w:val="00315982"/>
    <w:rsid w:val="00323431"/>
    <w:rsid w:val="00325DAC"/>
    <w:rsid w:val="003271E2"/>
    <w:rsid w:val="00330F9E"/>
    <w:rsid w:val="00335AA3"/>
    <w:rsid w:val="003363B5"/>
    <w:rsid w:val="00337786"/>
    <w:rsid w:val="00342109"/>
    <w:rsid w:val="003422EC"/>
    <w:rsid w:val="0034437B"/>
    <w:rsid w:val="003451F9"/>
    <w:rsid w:val="00350962"/>
    <w:rsid w:val="00351DE4"/>
    <w:rsid w:val="0035260F"/>
    <w:rsid w:val="00357599"/>
    <w:rsid w:val="00361115"/>
    <w:rsid w:val="00363DD6"/>
    <w:rsid w:val="00381C11"/>
    <w:rsid w:val="00386B42"/>
    <w:rsid w:val="00387E4A"/>
    <w:rsid w:val="0039046B"/>
    <w:rsid w:val="00390CB6"/>
    <w:rsid w:val="00391DFE"/>
    <w:rsid w:val="00391FF7"/>
    <w:rsid w:val="00392664"/>
    <w:rsid w:val="00396F37"/>
    <w:rsid w:val="003B3265"/>
    <w:rsid w:val="003B3CFB"/>
    <w:rsid w:val="003B7978"/>
    <w:rsid w:val="003C5896"/>
    <w:rsid w:val="003C7C48"/>
    <w:rsid w:val="003D3F59"/>
    <w:rsid w:val="003D456A"/>
    <w:rsid w:val="003D725F"/>
    <w:rsid w:val="003D7A33"/>
    <w:rsid w:val="003E0C8A"/>
    <w:rsid w:val="003E26E3"/>
    <w:rsid w:val="003E3D2F"/>
    <w:rsid w:val="003E41EC"/>
    <w:rsid w:val="003E6A7A"/>
    <w:rsid w:val="003F75AF"/>
    <w:rsid w:val="00401469"/>
    <w:rsid w:val="004038DD"/>
    <w:rsid w:val="0041070E"/>
    <w:rsid w:val="004138BD"/>
    <w:rsid w:val="00415A01"/>
    <w:rsid w:val="00416EB1"/>
    <w:rsid w:val="00420618"/>
    <w:rsid w:val="004206FD"/>
    <w:rsid w:val="0042499C"/>
    <w:rsid w:val="00425287"/>
    <w:rsid w:val="004266DB"/>
    <w:rsid w:val="00426ABB"/>
    <w:rsid w:val="0043571A"/>
    <w:rsid w:val="00435E15"/>
    <w:rsid w:val="00436F3A"/>
    <w:rsid w:val="00437FB9"/>
    <w:rsid w:val="004530CE"/>
    <w:rsid w:val="00455E49"/>
    <w:rsid w:val="00465C26"/>
    <w:rsid w:val="004672CA"/>
    <w:rsid w:val="0047179D"/>
    <w:rsid w:val="004750D9"/>
    <w:rsid w:val="0048095A"/>
    <w:rsid w:val="004813F5"/>
    <w:rsid w:val="00481664"/>
    <w:rsid w:val="00483C36"/>
    <w:rsid w:val="00484CC1"/>
    <w:rsid w:val="00486A45"/>
    <w:rsid w:val="00487F71"/>
    <w:rsid w:val="004A04C6"/>
    <w:rsid w:val="004A1421"/>
    <w:rsid w:val="004A175B"/>
    <w:rsid w:val="004A34E9"/>
    <w:rsid w:val="004A3D88"/>
    <w:rsid w:val="004A49FA"/>
    <w:rsid w:val="004A5868"/>
    <w:rsid w:val="004B150C"/>
    <w:rsid w:val="004B4324"/>
    <w:rsid w:val="004C1378"/>
    <w:rsid w:val="004C1BF8"/>
    <w:rsid w:val="004C7409"/>
    <w:rsid w:val="004D3603"/>
    <w:rsid w:val="004D4336"/>
    <w:rsid w:val="004D6519"/>
    <w:rsid w:val="004D692C"/>
    <w:rsid w:val="004E009D"/>
    <w:rsid w:val="004E01DF"/>
    <w:rsid w:val="004E0A94"/>
    <w:rsid w:val="004E36BD"/>
    <w:rsid w:val="004F0887"/>
    <w:rsid w:val="004F49D5"/>
    <w:rsid w:val="004F5653"/>
    <w:rsid w:val="004F7FB2"/>
    <w:rsid w:val="005004D8"/>
    <w:rsid w:val="00503575"/>
    <w:rsid w:val="00503712"/>
    <w:rsid w:val="00512A93"/>
    <w:rsid w:val="00515C51"/>
    <w:rsid w:val="00516852"/>
    <w:rsid w:val="00517578"/>
    <w:rsid w:val="00520E0F"/>
    <w:rsid w:val="00525BEB"/>
    <w:rsid w:val="0053049A"/>
    <w:rsid w:val="00531EE3"/>
    <w:rsid w:val="005320CE"/>
    <w:rsid w:val="0053346C"/>
    <w:rsid w:val="005352E0"/>
    <w:rsid w:val="00536083"/>
    <w:rsid w:val="00536499"/>
    <w:rsid w:val="005429CB"/>
    <w:rsid w:val="00543CF7"/>
    <w:rsid w:val="005470B7"/>
    <w:rsid w:val="00551E1A"/>
    <w:rsid w:val="00553790"/>
    <w:rsid w:val="005553E3"/>
    <w:rsid w:val="0055707E"/>
    <w:rsid w:val="00561BF5"/>
    <w:rsid w:val="00563A93"/>
    <w:rsid w:val="00566555"/>
    <w:rsid w:val="00567A21"/>
    <w:rsid w:val="00573109"/>
    <w:rsid w:val="00573A59"/>
    <w:rsid w:val="005755DD"/>
    <w:rsid w:val="0058267C"/>
    <w:rsid w:val="00582C98"/>
    <w:rsid w:val="00584199"/>
    <w:rsid w:val="00586ED1"/>
    <w:rsid w:val="00592E4A"/>
    <w:rsid w:val="00594868"/>
    <w:rsid w:val="005A5799"/>
    <w:rsid w:val="005B0607"/>
    <w:rsid w:val="005B6B03"/>
    <w:rsid w:val="005B71A7"/>
    <w:rsid w:val="005C5C23"/>
    <w:rsid w:val="005D08F8"/>
    <w:rsid w:val="005D4E43"/>
    <w:rsid w:val="005D7AAB"/>
    <w:rsid w:val="005E0753"/>
    <w:rsid w:val="005E0AC1"/>
    <w:rsid w:val="005E2AA0"/>
    <w:rsid w:val="005E517D"/>
    <w:rsid w:val="005E5368"/>
    <w:rsid w:val="005F0376"/>
    <w:rsid w:val="005F2AE6"/>
    <w:rsid w:val="005F6456"/>
    <w:rsid w:val="006004DD"/>
    <w:rsid w:val="00600550"/>
    <w:rsid w:val="006040F5"/>
    <w:rsid w:val="00604616"/>
    <w:rsid w:val="0060785D"/>
    <w:rsid w:val="0061381C"/>
    <w:rsid w:val="006142C9"/>
    <w:rsid w:val="0061468B"/>
    <w:rsid w:val="00617BB8"/>
    <w:rsid w:val="00622E7C"/>
    <w:rsid w:val="0062348A"/>
    <w:rsid w:val="00627BA3"/>
    <w:rsid w:val="00630149"/>
    <w:rsid w:val="00633C6B"/>
    <w:rsid w:val="00636074"/>
    <w:rsid w:val="006376B5"/>
    <w:rsid w:val="0064762B"/>
    <w:rsid w:val="00647910"/>
    <w:rsid w:val="00652813"/>
    <w:rsid w:val="00653235"/>
    <w:rsid w:val="0065429A"/>
    <w:rsid w:val="00654867"/>
    <w:rsid w:val="00654B14"/>
    <w:rsid w:val="00656BEF"/>
    <w:rsid w:val="00660421"/>
    <w:rsid w:val="00661764"/>
    <w:rsid w:val="00664E46"/>
    <w:rsid w:val="00666BD9"/>
    <w:rsid w:val="0066755B"/>
    <w:rsid w:val="006705AA"/>
    <w:rsid w:val="00674C35"/>
    <w:rsid w:val="00675DB4"/>
    <w:rsid w:val="00676223"/>
    <w:rsid w:val="006772E3"/>
    <w:rsid w:val="00684DCB"/>
    <w:rsid w:val="006923EC"/>
    <w:rsid w:val="00692FDA"/>
    <w:rsid w:val="006966D1"/>
    <w:rsid w:val="00696E07"/>
    <w:rsid w:val="00697F4A"/>
    <w:rsid w:val="006A4AC6"/>
    <w:rsid w:val="006B5CCF"/>
    <w:rsid w:val="006C0A43"/>
    <w:rsid w:val="006C2887"/>
    <w:rsid w:val="006C32B9"/>
    <w:rsid w:val="006D0FCD"/>
    <w:rsid w:val="006D5001"/>
    <w:rsid w:val="006D564B"/>
    <w:rsid w:val="006D5BA7"/>
    <w:rsid w:val="006E0B90"/>
    <w:rsid w:val="006F26F8"/>
    <w:rsid w:val="006F29FF"/>
    <w:rsid w:val="006F31D9"/>
    <w:rsid w:val="006F4D36"/>
    <w:rsid w:val="006F5517"/>
    <w:rsid w:val="00701112"/>
    <w:rsid w:val="007054F4"/>
    <w:rsid w:val="0070719C"/>
    <w:rsid w:val="00713913"/>
    <w:rsid w:val="00715BE7"/>
    <w:rsid w:val="0072547A"/>
    <w:rsid w:val="0073218B"/>
    <w:rsid w:val="00736525"/>
    <w:rsid w:val="00741161"/>
    <w:rsid w:val="00741339"/>
    <w:rsid w:val="00741647"/>
    <w:rsid w:val="00742284"/>
    <w:rsid w:val="007446E1"/>
    <w:rsid w:val="007454A3"/>
    <w:rsid w:val="00746833"/>
    <w:rsid w:val="0075056E"/>
    <w:rsid w:val="00751684"/>
    <w:rsid w:val="00753AC2"/>
    <w:rsid w:val="00755EFF"/>
    <w:rsid w:val="00760148"/>
    <w:rsid w:val="007602DC"/>
    <w:rsid w:val="00761547"/>
    <w:rsid w:val="00765080"/>
    <w:rsid w:val="00766257"/>
    <w:rsid w:val="00766455"/>
    <w:rsid w:val="00773C19"/>
    <w:rsid w:val="00775B3B"/>
    <w:rsid w:val="00776794"/>
    <w:rsid w:val="007826EC"/>
    <w:rsid w:val="007833E8"/>
    <w:rsid w:val="00784AD3"/>
    <w:rsid w:val="007864C6"/>
    <w:rsid w:val="007908A0"/>
    <w:rsid w:val="007A19B8"/>
    <w:rsid w:val="007A2BF3"/>
    <w:rsid w:val="007A54AF"/>
    <w:rsid w:val="007B238A"/>
    <w:rsid w:val="007B2ADF"/>
    <w:rsid w:val="007B40DE"/>
    <w:rsid w:val="007B42FB"/>
    <w:rsid w:val="007B5341"/>
    <w:rsid w:val="007B6680"/>
    <w:rsid w:val="007B7CCE"/>
    <w:rsid w:val="007B7F61"/>
    <w:rsid w:val="007C4C81"/>
    <w:rsid w:val="007C52C9"/>
    <w:rsid w:val="007D06CF"/>
    <w:rsid w:val="007D079E"/>
    <w:rsid w:val="007D1E2B"/>
    <w:rsid w:val="007D439C"/>
    <w:rsid w:val="007D4E08"/>
    <w:rsid w:val="007D6165"/>
    <w:rsid w:val="007D6B55"/>
    <w:rsid w:val="007E3E46"/>
    <w:rsid w:val="007E5185"/>
    <w:rsid w:val="007E7164"/>
    <w:rsid w:val="007F180E"/>
    <w:rsid w:val="007F21EA"/>
    <w:rsid w:val="007F3235"/>
    <w:rsid w:val="007F57EA"/>
    <w:rsid w:val="007F6FD5"/>
    <w:rsid w:val="00804063"/>
    <w:rsid w:val="00810381"/>
    <w:rsid w:val="008110FA"/>
    <w:rsid w:val="00812AE3"/>
    <w:rsid w:val="008167B1"/>
    <w:rsid w:val="008233C1"/>
    <w:rsid w:val="008271EC"/>
    <w:rsid w:val="008275C1"/>
    <w:rsid w:val="008307FB"/>
    <w:rsid w:val="0083570F"/>
    <w:rsid w:val="00837CF2"/>
    <w:rsid w:val="00842B47"/>
    <w:rsid w:val="00843198"/>
    <w:rsid w:val="00845AA2"/>
    <w:rsid w:val="00845BD9"/>
    <w:rsid w:val="00846389"/>
    <w:rsid w:val="00847EEF"/>
    <w:rsid w:val="00851040"/>
    <w:rsid w:val="00853A99"/>
    <w:rsid w:val="00855F4E"/>
    <w:rsid w:val="00864844"/>
    <w:rsid w:val="00866330"/>
    <w:rsid w:val="008706DC"/>
    <w:rsid w:val="008709CD"/>
    <w:rsid w:val="00872296"/>
    <w:rsid w:val="00882AB9"/>
    <w:rsid w:val="00884949"/>
    <w:rsid w:val="008873E7"/>
    <w:rsid w:val="00887A92"/>
    <w:rsid w:val="00887AE1"/>
    <w:rsid w:val="00890F68"/>
    <w:rsid w:val="00893C18"/>
    <w:rsid w:val="008A3155"/>
    <w:rsid w:val="008A7DA3"/>
    <w:rsid w:val="008B0E1C"/>
    <w:rsid w:val="008B2016"/>
    <w:rsid w:val="008B202F"/>
    <w:rsid w:val="008B3A0F"/>
    <w:rsid w:val="008B4577"/>
    <w:rsid w:val="008B50FF"/>
    <w:rsid w:val="008C0356"/>
    <w:rsid w:val="008C2CD8"/>
    <w:rsid w:val="008C309C"/>
    <w:rsid w:val="008C5F0F"/>
    <w:rsid w:val="008C60E2"/>
    <w:rsid w:val="008C7C70"/>
    <w:rsid w:val="008D54A2"/>
    <w:rsid w:val="008E08F0"/>
    <w:rsid w:val="008E2174"/>
    <w:rsid w:val="008E320B"/>
    <w:rsid w:val="008E3AC6"/>
    <w:rsid w:val="008F0149"/>
    <w:rsid w:val="008F2F73"/>
    <w:rsid w:val="008F32B7"/>
    <w:rsid w:val="008F3776"/>
    <w:rsid w:val="008F392F"/>
    <w:rsid w:val="008F3EAE"/>
    <w:rsid w:val="0090021E"/>
    <w:rsid w:val="0090276F"/>
    <w:rsid w:val="00902EA5"/>
    <w:rsid w:val="00905EBE"/>
    <w:rsid w:val="00911267"/>
    <w:rsid w:val="00911CCE"/>
    <w:rsid w:val="00913376"/>
    <w:rsid w:val="009141B3"/>
    <w:rsid w:val="0091563E"/>
    <w:rsid w:val="009159EE"/>
    <w:rsid w:val="00922148"/>
    <w:rsid w:val="0092329B"/>
    <w:rsid w:val="0092369B"/>
    <w:rsid w:val="00923A9E"/>
    <w:rsid w:val="00924DD2"/>
    <w:rsid w:val="00925C01"/>
    <w:rsid w:val="009261CF"/>
    <w:rsid w:val="009306D3"/>
    <w:rsid w:val="009338CB"/>
    <w:rsid w:val="0093452F"/>
    <w:rsid w:val="0094089B"/>
    <w:rsid w:val="00941D41"/>
    <w:rsid w:val="00945B9C"/>
    <w:rsid w:val="00952384"/>
    <w:rsid w:val="00953204"/>
    <w:rsid w:val="00953DBE"/>
    <w:rsid w:val="009540AA"/>
    <w:rsid w:val="0095650A"/>
    <w:rsid w:val="0096105F"/>
    <w:rsid w:val="00962CA3"/>
    <w:rsid w:val="00962CAD"/>
    <w:rsid w:val="0096305B"/>
    <w:rsid w:val="00965079"/>
    <w:rsid w:val="00967710"/>
    <w:rsid w:val="009725FE"/>
    <w:rsid w:val="0097346F"/>
    <w:rsid w:val="00975C97"/>
    <w:rsid w:val="00976A20"/>
    <w:rsid w:val="00977752"/>
    <w:rsid w:val="00981E50"/>
    <w:rsid w:val="009874FD"/>
    <w:rsid w:val="009935CB"/>
    <w:rsid w:val="0099434A"/>
    <w:rsid w:val="00995FE3"/>
    <w:rsid w:val="009974A8"/>
    <w:rsid w:val="009A010A"/>
    <w:rsid w:val="009B14DE"/>
    <w:rsid w:val="009B1EC4"/>
    <w:rsid w:val="009C113A"/>
    <w:rsid w:val="009C3749"/>
    <w:rsid w:val="009C4787"/>
    <w:rsid w:val="009D176D"/>
    <w:rsid w:val="009D17BD"/>
    <w:rsid w:val="009D3C4A"/>
    <w:rsid w:val="009E0148"/>
    <w:rsid w:val="009E2469"/>
    <w:rsid w:val="009E41C9"/>
    <w:rsid w:val="009F1303"/>
    <w:rsid w:val="009F6F44"/>
    <w:rsid w:val="00A00AD6"/>
    <w:rsid w:val="00A0316A"/>
    <w:rsid w:val="00A039C6"/>
    <w:rsid w:val="00A05B0F"/>
    <w:rsid w:val="00A05E35"/>
    <w:rsid w:val="00A07400"/>
    <w:rsid w:val="00A108D6"/>
    <w:rsid w:val="00A178CA"/>
    <w:rsid w:val="00A23137"/>
    <w:rsid w:val="00A272EF"/>
    <w:rsid w:val="00A40632"/>
    <w:rsid w:val="00A40CE4"/>
    <w:rsid w:val="00A4142D"/>
    <w:rsid w:val="00A456EB"/>
    <w:rsid w:val="00A474B1"/>
    <w:rsid w:val="00A50F6A"/>
    <w:rsid w:val="00A539C5"/>
    <w:rsid w:val="00A6512F"/>
    <w:rsid w:val="00A73E6E"/>
    <w:rsid w:val="00A74F22"/>
    <w:rsid w:val="00A769A6"/>
    <w:rsid w:val="00A85F16"/>
    <w:rsid w:val="00A860E9"/>
    <w:rsid w:val="00A90CC1"/>
    <w:rsid w:val="00A915D5"/>
    <w:rsid w:val="00A926F6"/>
    <w:rsid w:val="00A93B90"/>
    <w:rsid w:val="00A97774"/>
    <w:rsid w:val="00AA5072"/>
    <w:rsid w:val="00AB3D6C"/>
    <w:rsid w:val="00AB58D4"/>
    <w:rsid w:val="00AC5DEF"/>
    <w:rsid w:val="00AC7D9A"/>
    <w:rsid w:val="00AD5E58"/>
    <w:rsid w:val="00AD6492"/>
    <w:rsid w:val="00AE1AFF"/>
    <w:rsid w:val="00AE5CEB"/>
    <w:rsid w:val="00AF01EC"/>
    <w:rsid w:val="00AF1088"/>
    <w:rsid w:val="00AF265D"/>
    <w:rsid w:val="00AF2EDF"/>
    <w:rsid w:val="00AF3DDD"/>
    <w:rsid w:val="00AF40B7"/>
    <w:rsid w:val="00AF7671"/>
    <w:rsid w:val="00B01503"/>
    <w:rsid w:val="00B01BF4"/>
    <w:rsid w:val="00B031F5"/>
    <w:rsid w:val="00B10A34"/>
    <w:rsid w:val="00B1154C"/>
    <w:rsid w:val="00B1379C"/>
    <w:rsid w:val="00B15E3E"/>
    <w:rsid w:val="00B171B4"/>
    <w:rsid w:val="00B237DB"/>
    <w:rsid w:val="00B25E13"/>
    <w:rsid w:val="00B25E87"/>
    <w:rsid w:val="00B2689B"/>
    <w:rsid w:val="00B26E4F"/>
    <w:rsid w:val="00B3125D"/>
    <w:rsid w:val="00B32001"/>
    <w:rsid w:val="00B358EA"/>
    <w:rsid w:val="00B37009"/>
    <w:rsid w:val="00B37B1A"/>
    <w:rsid w:val="00B37CDF"/>
    <w:rsid w:val="00B415B9"/>
    <w:rsid w:val="00B42EB0"/>
    <w:rsid w:val="00B43865"/>
    <w:rsid w:val="00B43DCB"/>
    <w:rsid w:val="00B4764C"/>
    <w:rsid w:val="00B47D22"/>
    <w:rsid w:val="00B50FA5"/>
    <w:rsid w:val="00B55935"/>
    <w:rsid w:val="00B6097A"/>
    <w:rsid w:val="00B64840"/>
    <w:rsid w:val="00B6745E"/>
    <w:rsid w:val="00B67C42"/>
    <w:rsid w:val="00B72219"/>
    <w:rsid w:val="00B757AD"/>
    <w:rsid w:val="00B8002B"/>
    <w:rsid w:val="00B807FF"/>
    <w:rsid w:val="00B80F56"/>
    <w:rsid w:val="00B81C47"/>
    <w:rsid w:val="00B84281"/>
    <w:rsid w:val="00B94027"/>
    <w:rsid w:val="00B97568"/>
    <w:rsid w:val="00B97618"/>
    <w:rsid w:val="00BA42F2"/>
    <w:rsid w:val="00BA4C99"/>
    <w:rsid w:val="00BA5E81"/>
    <w:rsid w:val="00BA71A0"/>
    <w:rsid w:val="00BA7971"/>
    <w:rsid w:val="00BB0955"/>
    <w:rsid w:val="00BB0D3D"/>
    <w:rsid w:val="00BB3484"/>
    <w:rsid w:val="00BB3CCD"/>
    <w:rsid w:val="00BB4192"/>
    <w:rsid w:val="00BB440C"/>
    <w:rsid w:val="00BB443B"/>
    <w:rsid w:val="00BB5577"/>
    <w:rsid w:val="00BC178D"/>
    <w:rsid w:val="00BC5078"/>
    <w:rsid w:val="00BC672D"/>
    <w:rsid w:val="00BC7A76"/>
    <w:rsid w:val="00BD3B2D"/>
    <w:rsid w:val="00BD70BB"/>
    <w:rsid w:val="00BE0101"/>
    <w:rsid w:val="00BE0C1C"/>
    <w:rsid w:val="00BE2114"/>
    <w:rsid w:val="00BE6ADA"/>
    <w:rsid w:val="00BF0409"/>
    <w:rsid w:val="00BF2554"/>
    <w:rsid w:val="00BF5146"/>
    <w:rsid w:val="00BF577D"/>
    <w:rsid w:val="00C03537"/>
    <w:rsid w:val="00C05FFB"/>
    <w:rsid w:val="00C076D0"/>
    <w:rsid w:val="00C145D7"/>
    <w:rsid w:val="00C22398"/>
    <w:rsid w:val="00C22422"/>
    <w:rsid w:val="00C258A8"/>
    <w:rsid w:val="00C32A79"/>
    <w:rsid w:val="00C32BC0"/>
    <w:rsid w:val="00C334E1"/>
    <w:rsid w:val="00C36831"/>
    <w:rsid w:val="00C36D00"/>
    <w:rsid w:val="00C36F6E"/>
    <w:rsid w:val="00C377FE"/>
    <w:rsid w:val="00C6466D"/>
    <w:rsid w:val="00C65292"/>
    <w:rsid w:val="00C6556D"/>
    <w:rsid w:val="00C65E6B"/>
    <w:rsid w:val="00C71768"/>
    <w:rsid w:val="00C75FD0"/>
    <w:rsid w:val="00C76EDC"/>
    <w:rsid w:val="00CA0462"/>
    <w:rsid w:val="00CA1A71"/>
    <w:rsid w:val="00CA2B6F"/>
    <w:rsid w:val="00CA4195"/>
    <w:rsid w:val="00CA731B"/>
    <w:rsid w:val="00CB19D9"/>
    <w:rsid w:val="00CC4B1D"/>
    <w:rsid w:val="00CD0359"/>
    <w:rsid w:val="00CD5B51"/>
    <w:rsid w:val="00CE1625"/>
    <w:rsid w:val="00CE34DD"/>
    <w:rsid w:val="00CE67DA"/>
    <w:rsid w:val="00CF329E"/>
    <w:rsid w:val="00CF4B46"/>
    <w:rsid w:val="00CF63DB"/>
    <w:rsid w:val="00D01724"/>
    <w:rsid w:val="00D023BA"/>
    <w:rsid w:val="00D02654"/>
    <w:rsid w:val="00D030BE"/>
    <w:rsid w:val="00D03749"/>
    <w:rsid w:val="00D0433F"/>
    <w:rsid w:val="00D050EA"/>
    <w:rsid w:val="00D05AF6"/>
    <w:rsid w:val="00D07274"/>
    <w:rsid w:val="00D07803"/>
    <w:rsid w:val="00D158E0"/>
    <w:rsid w:val="00D15CBC"/>
    <w:rsid w:val="00D15EA4"/>
    <w:rsid w:val="00D2193C"/>
    <w:rsid w:val="00D2215F"/>
    <w:rsid w:val="00D22896"/>
    <w:rsid w:val="00D2293D"/>
    <w:rsid w:val="00D22E79"/>
    <w:rsid w:val="00D24ED7"/>
    <w:rsid w:val="00D26C0E"/>
    <w:rsid w:val="00D26F75"/>
    <w:rsid w:val="00D320D8"/>
    <w:rsid w:val="00D330CA"/>
    <w:rsid w:val="00D3576F"/>
    <w:rsid w:val="00D369AD"/>
    <w:rsid w:val="00D42767"/>
    <w:rsid w:val="00D443C3"/>
    <w:rsid w:val="00D46FEA"/>
    <w:rsid w:val="00D52DD7"/>
    <w:rsid w:val="00D5510F"/>
    <w:rsid w:val="00D57BF9"/>
    <w:rsid w:val="00D60025"/>
    <w:rsid w:val="00D62154"/>
    <w:rsid w:val="00D631A4"/>
    <w:rsid w:val="00D64451"/>
    <w:rsid w:val="00D653EF"/>
    <w:rsid w:val="00D67A02"/>
    <w:rsid w:val="00D71156"/>
    <w:rsid w:val="00D7231E"/>
    <w:rsid w:val="00D77B3B"/>
    <w:rsid w:val="00D80121"/>
    <w:rsid w:val="00D80C43"/>
    <w:rsid w:val="00D838DA"/>
    <w:rsid w:val="00D91206"/>
    <w:rsid w:val="00D91A3A"/>
    <w:rsid w:val="00D924AA"/>
    <w:rsid w:val="00D95647"/>
    <w:rsid w:val="00D965F4"/>
    <w:rsid w:val="00DA3601"/>
    <w:rsid w:val="00DA38D7"/>
    <w:rsid w:val="00DA3F20"/>
    <w:rsid w:val="00DA565E"/>
    <w:rsid w:val="00DB12DC"/>
    <w:rsid w:val="00DB5F83"/>
    <w:rsid w:val="00DC5168"/>
    <w:rsid w:val="00DC597F"/>
    <w:rsid w:val="00DC7A7D"/>
    <w:rsid w:val="00DD08C4"/>
    <w:rsid w:val="00DD2436"/>
    <w:rsid w:val="00DD2808"/>
    <w:rsid w:val="00DD73B1"/>
    <w:rsid w:val="00DE3CAA"/>
    <w:rsid w:val="00DE4C1B"/>
    <w:rsid w:val="00DE56C9"/>
    <w:rsid w:val="00DF5803"/>
    <w:rsid w:val="00DF698C"/>
    <w:rsid w:val="00DF7401"/>
    <w:rsid w:val="00E0430D"/>
    <w:rsid w:val="00E06D23"/>
    <w:rsid w:val="00E111A2"/>
    <w:rsid w:val="00E1224F"/>
    <w:rsid w:val="00E154B0"/>
    <w:rsid w:val="00E17716"/>
    <w:rsid w:val="00E25FF7"/>
    <w:rsid w:val="00E30400"/>
    <w:rsid w:val="00E31D87"/>
    <w:rsid w:val="00E320A6"/>
    <w:rsid w:val="00E366D2"/>
    <w:rsid w:val="00E3777B"/>
    <w:rsid w:val="00E37C08"/>
    <w:rsid w:val="00E40782"/>
    <w:rsid w:val="00E40909"/>
    <w:rsid w:val="00E4270D"/>
    <w:rsid w:val="00E42A10"/>
    <w:rsid w:val="00E46868"/>
    <w:rsid w:val="00E5027A"/>
    <w:rsid w:val="00E51A72"/>
    <w:rsid w:val="00E53C59"/>
    <w:rsid w:val="00E56C2A"/>
    <w:rsid w:val="00E611F9"/>
    <w:rsid w:val="00E62AA4"/>
    <w:rsid w:val="00E64CFC"/>
    <w:rsid w:val="00E70B2B"/>
    <w:rsid w:val="00E82475"/>
    <w:rsid w:val="00E85295"/>
    <w:rsid w:val="00E865FA"/>
    <w:rsid w:val="00E92EC1"/>
    <w:rsid w:val="00E93A4C"/>
    <w:rsid w:val="00E93D2F"/>
    <w:rsid w:val="00E9593F"/>
    <w:rsid w:val="00E9609F"/>
    <w:rsid w:val="00E97EC3"/>
    <w:rsid w:val="00EA46D4"/>
    <w:rsid w:val="00EA51D0"/>
    <w:rsid w:val="00EB026C"/>
    <w:rsid w:val="00EB2132"/>
    <w:rsid w:val="00EB756C"/>
    <w:rsid w:val="00EC203E"/>
    <w:rsid w:val="00EC5305"/>
    <w:rsid w:val="00ED1396"/>
    <w:rsid w:val="00ED22A2"/>
    <w:rsid w:val="00ED2705"/>
    <w:rsid w:val="00ED78F4"/>
    <w:rsid w:val="00EE1615"/>
    <w:rsid w:val="00EE2CBE"/>
    <w:rsid w:val="00EE4B07"/>
    <w:rsid w:val="00EE5ECD"/>
    <w:rsid w:val="00EF133E"/>
    <w:rsid w:val="00EF387C"/>
    <w:rsid w:val="00EF7039"/>
    <w:rsid w:val="00EF7C61"/>
    <w:rsid w:val="00F0593F"/>
    <w:rsid w:val="00F11BA2"/>
    <w:rsid w:val="00F15D9C"/>
    <w:rsid w:val="00F17940"/>
    <w:rsid w:val="00F22C90"/>
    <w:rsid w:val="00F26796"/>
    <w:rsid w:val="00F2785D"/>
    <w:rsid w:val="00F309CD"/>
    <w:rsid w:val="00F341EE"/>
    <w:rsid w:val="00F40848"/>
    <w:rsid w:val="00F436F7"/>
    <w:rsid w:val="00F46AF2"/>
    <w:rsid w:val="00F51EF9"/>
    <w:rsid w:val="00F61BD3"/>
    <w:rsid w:val="00F62D6E"/>
    <w:rsid w:val="00F668FB"/>
    <w:rsid w:val="00F73528"/>
    <w:rsid w:val="00F73E1A"/>
    <w:rsid w:val="00F761CF"/>
    <w:rsid w:val="00F76570"/>
    <w:rsid w:val="00F77BBF"/>
    <w:rsid w:val="00F815BD"/>
    <w:rsid w:val="00F83F4F"/>
    <w:rsid w:val="00F84548"/>
    <w:rsid w:val="00F85354"/>
    <w:rsid w:val="00F93327"/>
    <w:rsid w:val="00F93DFD"/>
    <w:rsid w:val="00F95E8D"/>
    <w:rsid w:val="00F96B91"/>
    <w:rsid w:val="00FA0DD0"/>
    <w:rsid w:val="00FA10F3"/>
    <w:rsid w:val="00FA23CD"/>
    <w:rsid w:val="00FA4170"/>
    <w:rsid w:val="00FA6CC0"/>
    <w:rsid w:val="00FB0BC7"/>
    <w:rsid w:val="00FB7792"/>
    <w:rsid w:val="00FB7A38"/>
    <w:rsid w:val="00FC37B8"/>
    <w:rsid w:val="00FC771B"/>
    <w:rsid w:val="00FD3CCC"/>
    <w:rsid w:val="00FD489B"/>
    <w:rsid w:val="00FE3A68"/>
    <w:rsid w:val="00FF2F7A"/>
    <w:rsid w:val="00FF3737"/>
    <w:rsid w:val="00FF4D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9E37"/>
  <w15:docId w15:val="{2BE24478-2E2C-49B9-A4C1-60309164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C2A"/>
    <w:pPr>
      <w:spacing w:after="200" w:line="276" w:lineRule="auto"/>
      <w:ind w:left="720"/>
      <w:contextualSpacing/>
    </w:pPr>
    <w:rPr>
      <w:rFonts w:asciiTheme="minorHAnsi" w:hAnsiTheme="minorHAnsi"/>
      <w:sz w:val="22"/>
    </w:rPr>
  </w:style>
  <w:style w:type="paragraph" w:styleId="Header">
    <w:name w:val="header"/>
    <w:basedOn w:val="Normal"/>
    <w:link w:val="HeaderChar"/>
    <w:uiPriority w:val="99"/>
    <w:unhideWhenUsed/>
    <w:rsid w:val="002A4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BD1"/>
  </w:style>
  <w:style w:type="paragraph" w:styleId="Footer">
    <w:name w:val="footer"/>
    <w:basedOn w:val="Normal"/>
    <w:link w:val="FooterChar"/>
    <w:uiPriority w:val="99"/>
    <w:unhideWhenUsed/>
    <w:rsid w:val="002A4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BD1"/>
  </w:style>
  <w:style w:type="paragraph" w:styleId="BalloonText">
    <w:name w:val="Balloon Text"/>
    <w:basedOn w:val="Normal"/>
    <w:link w:val="BalloonTextChar"/>
    <w:uiPriority w:val="99"/>
    <w:semiHidden/>
    <w:unhideWhenUsed/>
    <w:rsid w:val="007D6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65"/>
    <w:rPr>
      <w:rFonts w:ascii="Segoe UI" w:hAnsi="Segoe UI" w:cs="Segoe UI"/>
      <w:sz w:val="18"/>
      <w:szCs w:val="18"/>
    </w:rPr>
  </w:style>
  <w:style w:type="character" w:styleId="Hyperlink">
    <w:name w:val="Hyperlink"/>
    <w:basedOn w:val="DefaultParagraphFont"/>
    <w:uiPriority w:val="99"/>
    <w:unhideWhenUsed/>
    <w:rsid w:val="00922148"/>
    <w:rPr>
      <w:color w:val="0563C1" w:themeColor="hyperlink"/>
      <w:u w:val="single"/>
    </w:rPr>
  </w:style>
  <w:style w:type="paragraph" w:styleId="NoSpacing">
    <w:name w:val="No Spacing"/>
    <w:uiPriority w:val="1"/>
    <w:qFormat/>
    <w:rsid w:val="008C5F0F"/>
    <w:pPr>
      <w:spacing w:after="0" w:line="240" w:lineRule="auto"/>
    </w:pPr>
  </w:style>
  <w:style w:type="paragraph" w:customStyle="1" w:styleId="Default">
    <w:name w:val="Default"/>
    <w:rsid w:val="007A54AF"/>
    <w:pPr>
      <w:autoSpaceDE w:val="0"/>
      <w:autoSpaceDN w:val="0"/>
      <w:adjustRightInd w:val="0"/>
      <w:spacing w:after="0" w:line="240" w:lineRule="auto"/>
    </w:pPr>
    <w:rPr>
      <w:rFonts w:cs="Times New Roman"/>
      <w:color w:val="000000"/>
      <w:szCs w:val="24"/>
    </w:rPr>
  </w:style>
  <w:style w:type="paragraph" w:styleId="CommentText">
    <w:name w:val="annotation text"/>
    <w:basedOn w:val="Normal"/>
    <w:link w:val="CommentTextChar"/>
    <w:uiPriority w:val="99"/>
    <w:semiHidden/>
    <w:unhideWhenUsed/>
    <w:rsid w:val="00517578"/>
    <w:pPr>
      <w:spacing w:line="240" w:lineRule="auto"/>
    </w:pPr>
    <w:rPr>
      <w:sz w:val="20"/>
      <w:szCs w:val="20"/>
    </w:rPr>
  </w:style>
  <w:style w:type="character" w:customStyle="1" w:styleId="CommentTextChar">
    <w:name w:val="Comment Text Char"/>
    <w:basedOn w:val="DefaultParagraphFont"/>
    <w:link w:val="CommentText"/>
    <w:uiPriority w:val="99"/>
    <w:semiHidden/>
    <w:rsid w:val="00517578"/>
    <w:rPr>
      <w:sz w:val="20"/>
      <w:szCs w:val="20"/>
    </w:rPr>
  </w:style>
  <w:style w:type="character" w:styleId="FootnoteReference">
    <w:name w:val="footnote reference"/>
    <w:basedOn w:val="DefaultParagraphFont"/>
    <w:uiPriority w:val="99"/>
    <w:semiHidden/>
    <w:unhideWhenUsed/>
    <w:rsid w:val="00E93D2F"/>
    <w:rPr>
      <w:vertAlign w:val="superscript"/>
    </w:rPr>
  </w:style>
  <w:style w:type="character" w:styleId="CommentReference">
    <w:name w:val="annotation reference"/>
    <w:basedOn w:val="DefaultParagraphFont"/>
    <w:uiPriority w:val="99"/>
    <w:semiHidden/>
    <w:unhideWhenUsed/>
    <w:rsid w:val="00674C35"/>
    <w:rPr>
      <w:sz w:val="16"/>
      <w:szCs w:val="16"/>
    </w:rPr>
  </w:style>
  <w:style w:type="paragraph" w:styleId="CommentSubject">
    <w:name w:val="annotation subject"/>
    <w:basedOn w:val="CommentText"/>
    <w:next w:val="CommentText"/>
    <w:link w:val="CommentSubjectChar"/>
    <w:uiPriority w:val="99"/>
    <w:semiHidden/>
    <w:unhideWhenUsed/>
    <w:rsid w:val="00674C35"/>
    <w:rPr>
      <w:b/>
      <w:bCs/>
    </w:rPr>
  </w:style>
  <w:style w:type="character" w:customStyle="1" w:styleId="CommentSubjectChar">
    <w:name w:val="Comment Subject Char"/>
    <w:basedOn w:val="CommentTextChar"/>
    <w:link w:val="CommentSubject"/>
    <w:uiPriority w:val="99"/>
    <w:semiHidden/>
    <w:rsid w:val="00674C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0701">
      <w:bodyDiv w:val="1"/>
      <w:marLeft w:val="0"/>
      <w:marRight w:val="0"/>
      <w:marTop w:val="0"/>
      <w:marBottom w:val="0"/>
      <w:divBdr>
        <w:top w:val="none" w:sz="0" w:space="0" w:color="auto"/>
        <w:left w:val="none" w:sz="0" w:space="0" w:color="auto"/>
        <w:bottom w:val="none" w:sz="0" w:space="0" w:color="auto"/>
        <w:right w:val="none" w:sz="0" w:space="0" w:color="auto"/>
      </w:divBdr>
    </w:div>
    <w:div w:id="217664867">
      <w:bodyDiv w:val="1"/>
      <w:marLeft w:val="0"/>
      <w:marRight w:val="0"/>
      <w:marTop w:val="0"/>
      <w:marBottom w:val="0"/>
      <w:divBdr>
        <w:top w:val="none" w:sz="0" w:space="0" w:color="auto"/>
        <w:left w:val="none" w:sz="0" w:space="0" w:color="auto"/>
        <w:bottom w:val="none" w:sz="0" w:space="0" w:color="auto"/>
        <w:right w:val="none" w:sz="0" w:space="0" w:color="auto"/>
      </w:divBdr>
      <w:divsChild>
        <w:div w:id="830288743">
          <w:marLeft w:val="0"/>
          <w:marRight w:val="0"/>
          <w:marTop w:val="0"/>
          <w:marBottom w:val="0"/>
          <w:divBdr>
            <w:top w:val="none" w:sz="0" w:space="0" w:color="auto"/>
            <w:left w:val="none" w:sz="0" w:space="0" w:color="auto"/>
            <w:bottom w:val="none" w:sz="0" w:space="0" w:color="auto"/>
            <w:right w:val="none" w:sz="0" w:space="0" w:color="auto"/>
          </w:divBdr>
          <w:divsChild>
            <w:div w:id="2118599919">
              <w:marLeft w:val="0"/>
              <w:marRight w:val="0"/>
              <w:marTop w:val="0"/>
              <w:marBottom w:val="0"/>
              <w:divBdr>
                <w:top w:val="none" w:sz="0" w:space="0" w:color="auto"/>
                <w:left w:val="none" w:sz="0" w:space="0" w:color="auto"/>
                <w:bottom w:val="none" w:sz="0" w:space="0" w:color="auto"/>
                <w:right w:val="none" w:sz="0" w:space="0" w:color="auto"/>
              </w:divBdr>
              <w:divsChild>
                <w:div w:id="1443110630">
                  <w:marLeft w:val="0"/>
                  <w:marRight w:val="0"/>
                  <w:marTop w:val="0"/>
                  <w:marBottom w:val="0"/>
                  <w:divBdr>
                    <w:top w:val="none" w:sz="0" w:space="0" w:color="auto"/>
                    <w:left w:val="none" w:sz="0" w:space="0" w:color="auto"/>
                    <w:bottom w:val="none" w:sz="0" w:space="0" w:color="auto"/>
                    <w:right w:val="none" w:sz="0" w:space="0" w:color="auto"/>
                  </w:divBdr>
                  <w:divsChild>
                    <w:div w:id="180903281">
                      <w:marLeft w:val="0"/>
                      <w:marRight w:val="0"/>
                      <w:marTop w:val="0"/>
                      <w:marBottom w:val="0"/>
                      <w:divBdr>
                        <w:top w:val="none" w:sz="0" w:space="0" w:color="auto"/>
                        <w:left w:val="none" w:sz="0" w:space="0" w:color="auto"/>
                        <w:bottom w:val="none" w:sz="0" w:space="0" w:color="auto"/>
                        <w:right w:val="none" w:sz="0" w:space="0" w:color="auto"/>
                      </w:divBdr>
                      <w:divsChild>
                        <w:div w:id="77676942">
                          <w:marLeft w:val="0"/>
                          <w:marRight w:val="0"/>
                          <w:marTop w:val="0"/>
                          <w:marBottom w:val="0"/>
                          <w:divBdr>
                            <w:top w:val="none" w:sz="0" w:space="0" w:color="auto"/>
                            <w:left w:val="none" w:sz="0" w:space="0" w:color="auto"/>
                            <w:bottom w:val="none" w:sz="0" w:space="0" w:color="auto"/>
                            <w:right w:val="none" w:sz="0" w:space="0" w:color="auto"/>
                          </w:divBdr>
                          <w:divsChild>
                            <w:div w:id="1579942445">
                              <w:marLeft w:val="2070"/>
                              <w:marRight w:val="3960"/>
                              <w:marTop w:val="0"/>
                              <w:marBottom w:val="0"/>
                              <w:divBdr>
                                <w:top w:val="none" w:sz="0" w:space="0" w:color="auto"/>
                                <w:left w:val="none" w:sz="0" w:space="0" w:color="auto"/>
                                <w:bottom w:val="none" w:sz="0" w:space="0" w:color="auto"/>
                                <w:right w:val="none" w:sz="0" w:space="0" w:color="auto"/>
                              </w:divBdr>
                              <w:divsChild>
                                <w:div w:id="1709526581">
                                  <w:marLeft w:val="0"/>
                                  <w:marRight w:val="0"/>
                                  <w:marTop w:val="0"/>
                                  <w:marBottom w:val="0"/>
                                  <w:divBdr>
                                    <w:top w:val="none" w:sz="0" w:space="0" w:color="auto"/>
                                    <w:left w:val="none" w:sz="0" w:space="0" w:color="auto"/>
                                    <w:bottom w:val="none" w:sz="0" w:space="0" w:color="auto"/>
                                    <w:right w:val="none" w:sz="0" w:space="0" w:color="auto"/>
                                  </w:divBdr>
                                  <w:divsChild>
                                    <w:div w:id="1732389069">
                                      <w:marLeft w:val="0"/>
                                      <w:marRight w:val="0"/>
                                      <w:marTop w:val="0"/>
                                      <w:marBottom w:val="0"/>
                                      <w:divBdr>
                                        <w:top w:val="none" w:sz="0" w:space="0" w:color="auto"/>
                                        <w:left w:val="none" w:sz="0" w:space="0" w:color="auto"/>
                                        <w:bottom w:val="none" w:sz="0" w:space="0" w:color="auto"/>
                                        <w:right w:val="none" w:sz="0" w:space="0" w:color="auto"/>
                                      </w:divBdr>
                                      <w:divsChild>
                                        <w:div w:id="786049937">
                                          <w:marLeft w:val="0"/>
                                          <w:marRight w:val="0"/>
                                          <w:marTop w:val="0"/>
                                          <w:marBottom w:val="0"/>
                                          <w:divBdr>
                                            <w:top w:val="none" w:sz="0" w:space="0" w:color="auto"/>
                                            <w:left w:val="none" w:sz="0" w:space="0" w:color="auto"/>
                                            <w:bottom w:val="none" w:sz="0" w:space="0" w:color="auto"/>
                                            <w:right w:val="none" w:sz="0" w:space="0" w:color="auto"/>
                                          </w:divBdr>
                                          <w:divsChild>
                                            <w:div w:id="521670942">
                                              <w:marLeft w:val="0"/>
                                              <w:marRight w:val="0"/>
                                              <w:marTop w:val="90"/>
                                              <w:marBottom w:val="0"/>
                                              <w:divBdr>
                                                <w:top w:val="none" w:sz="0" w:space="0" w:color="auto"/>
                                                <w:left w:val="none" w:sz="0" w:space="0" w:color="auto"/>
                                                <w:bottom w:val="none" w:sz="0" w:space="0" w:color="auto"/>
                                                <w:right w:val="none" w:sz="0" w:space="0" w:color="auto"/>
                                              </w:divBdr>
                                              <w:divsChild>
                                                <w:div w:id="2116947136">
                                                  <w:marLeft w:val="0"/>
                                                  <w:marRight w:val="0"/>
                                                  <w:marTop w:val="0"/>
                                                  <w:marBottom w:val="0"/>
                                                  <w:divBdr>
                                                    <w:top w:val="none" w:sz="0" w:space="0" w:color="auto"/>
                                                    <w:left w:val="none" w:sz="0" w:space="0" w:color="auto"/>
                                                    <w:bottom w:val="none" w:sz="0" w:space="0" w:color="auto"/>
                                                    <w:right w:val="none" w:sz="0" w:space="0" w:color="auto"/>
                                                  </w:divBdr>
                                                  <w:divsChild>
                                                    <w:div w:id="781459708">
                                                      <w:marLeft w:val="0"/>
                                                      <w:marRight w:val="0"/>
                                                      <w:marTop w:val="0"/>
                                                      <w:marBottom w:val="0"/>
                                                      <w:divBdr>
                                                        <w:top w:val="none" w:sz="0" w:space="0" w:color="auto"/>
                                                        <w:left w:val="none" w:sz="0" w:space="0" w:color="auto"/>
                                                        <w:bottom w:val="none" w:sz="0" w:space="0" w:color="auto"/>
                                                        <w:right w:val="none" w:sz="0" w:space="0" w:color="auto"/>
                                                      </w:divBdr>
                                                      <w:divsChild>
                                                        <w:div w:id="1022782853">
                                                          <w:marLeft w:val="0"/>
                                                          <w:marRight w:val="0"/>
                                                          <w:marTop w:val="0"/>
                                                          <w:marBottom w:val="0"/>
                                                          <w:divBdr>
                                                            <w:top w:val="none" w:sz="0" w:space="0" w:color="auto"/>
                                                            <w:left w:val="none" w:sz="0" w:space="0" w:color="auto"/>
                                                            <w:bottom w:val="none" w:sz="0" w:space="0" w:color="auto"/>
                                                            <w:right w:val="none" w:sz="0" w:space="0" w:color="auto"/>
                                                          </w:divBdr>
                                                          <w:divsChild>
                                                            <w:div w:id="6912023">
                                                              <w:marLeft w:val="0"/>
                                                              <w:marRight w:val="0"/>
                                                              <w:marTop w:val="0"/>
                                                              <w:marBottom w:val="390"/>
                                                              <w:divBdr>
                                                                <w:top w:val="none" w:sz="0" w:space="0" w:color="auto"/>
                                                                <w:left w:val="none" w:sz="0" w:space="0" w:color="auto"/>
                                                                <w:bottom w:val="none" w:sz="0" w:space="0" w:color="auto"/>
                                                                <w:right w:val="none" w:sz="0" w:space="0" w:color="auto"/>
                                                              </w:divBdr>
                                                              <w:divsChild>
                                                                <w:div w:id="1555240815">
                                                                  <w:marLeft w:val="0"/>
                                                                  <w:marRight w:val="0"/>
                                                                  <w:marTop w:val="0"/>
                                                                  <w:marBottom w:val="0"/>
                                                                  <w:divBdr>
                                                                    <w:top w:val="none" w:sz="0" w:space="0" w:color="auto"/>
                                                                    <w:left w:val="none" w:sz="0" w:space="0" w:color="auto"/>
                                                                    <w:bottom w:val="none" w:sz="0" w:space="0" w:color="auto"/>
                                                                    <w:right w:val="none" w:sz="0" w:space="0" w:color="auto"/>
                                                                  </w:divBdr>
                                                                  <w:divsChild>
                                                                    <w:div w:id="1616525121">
                                                                      <w:marLeft w:val="0"/>
                                                                      <w:marRight w:val="0"/>
                                                                      <w:marTop w:val="0"/>
                                                                      <w:marBottom w:val="0"/>
                                                                      <w:divBdr>
                                                                        <w:top w:val="none" w:sz="0" w:space="0" w:color="auto"/>
                                                                        <w:left w:val="none" w:sz="0" w:space="0" w:color="auto"/>
                                                                        <w:bottom w:val="none" w:sz="0" w:space="0" w:color="auto"/>
                                                                        <w:right w:val="none" w:sz="0" w:space="0" w:color="auto"/>
                                                                      </w:divBdr>
                                                                      <w:divsChild>
                                                                        <w:div w:id="83383081">
                                                                          <w:marLeft w:val="0"/>
                                                                          <w:marRight w:val="0"/>
                                                                          <w:marTop w:val="0"/>
                                                                          <w:marBottom w:val="0"/>
                                                                          <w:divBdr>
                                                                            <w:top w:val="none" w:sz="0" w:space="0" w:color="auto"/>
                                                                            <w:left w:val="none" w:sz="0" w:space="0" w:color="auto"/>
                                                                            <w:bottom w:val="none" w:sz="0" w:space="0" w:color="auto"/>
                                                                            <w:right w:val="none" w:sz="0" w:space="0" w:color="auto"/>
                                                                          </w:divBdr>
                                                                          <w:divsChild>
                                                                            <w:div w:id="20984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085729">
      <w:bodyDiv w:val="1"/>
      <w:marLeft w:val="0"/>
      <w:marRight w:val="0"/>
      <w:marTop w:val="0"/>
      <w:marBottom w:val="0"/>
      <w:divBdr>
        <w:top w:val="none" w:sz="0" w:space="0" w:color="auto"/>
        <w:left w:val="none" w:sz="0" w:space="0" w:color="auto"/>
        <w:bottom w:val="none" w:sz="0" w:space="0" w:color="auto"/>
        <w:right w:val="none" w:sz="0" w:space="0" w:color="auto"/>
      </w:divBdr>
      <w:divsChild>
        <w:div w:id="1062797771">
          <w:marLeft w:val="0"/>
          <w:marRight w:val="0"/>
          <w:marTop w:val="30"/>
          <w:marBottom w:val="60"/>
          <w:divBdr>
            <w:top w:val="none" w:sz="0" w:space="0" w:color="auto"/>
            <w:left w:val="none" w:sz="0" w:space="0" w:color="auto"/>
            <w:bottom w:val="none" w:sz="0" w:space="0" w:color="auto"/>
            <w:right w:val="none" w:sz="0" w:space="0" w:color="auto"/>
          </w:divBdr>
          <w:divsChild>
            <w:div w:id="1625573669">
              <w:marLeft w:val="0"/>
              <w:marRight w:val="0"/>
              <w:marTop w:val="0"/>
              <w:marBottom w:val="0"/>
              <w:divBdr>
                <w:top w:val="none" w:sz="0" w:space="0" w:color="auto"/>
                <w:left w:val="none" w:sz="0" w:space="0" w:color="auto"/>
                <w:bottom w:val="none" w:sz="0" w:space="0" w:color="auto"/>
                <w:right w:val="none" w:sz="0" w:space="0" w:color="auto"/>
              </w:divBdr>
              <w:divsChild>
                <w:div w:id="908812224">
                  <w:marLeft w:val="0"/>
                  <w:marRight w:val="0"/>
                  <w:marTop w:val="0"/>
                  <w:marBottom w:val="0"/>
                  <w:divBdr>
                    <w:top w:val="none" w:sz="0" w:space="0" w:color="auto"/>
                    <w:left w:val="none" w:sz="0" w:space="0" w:color="auto"/>
                    <w:bottom w:val="none" w:sz="0" w:space="0" w:color="auto"/>
                    <w:right w:val="none" w:sz="0" w:space="0" w:color="auto"/>
                  </w:divBdr>
                  <w:divsChild>
                    <w:div w:id="19470399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9701735">
      <w:bodyDiv w:val="1"/>
      <w:marLeft w:val="0"/>
      <w:marRight w:val="0"/>
      <w:marTop w:val="0"/>
      <w:marBottom w:val="0"/>
      <w:divBdr>
        <w:top w:val="none" w:sz="0" w:space="0" w:color="auto"/>
        <w:left w:val="none" w:sz="0" w:space="0" w:color="auto"/>
        <w:bottom w:val="none" w:sz="0" w:space="0" w:color="auto"/>
        <w:right w:val="none" w:sz="0" w:space="0" w:color="auto"/>
      </w:divBdr>
      <w:divsChild>
        <w:div w:id="1409186964">
          <w:marLeft w:val="0"/>
          <w:marRight w:val="0"/>
          <w:marTop w:val="0"/>
          <w:marBottom w:val="0"/>
          <w:divBdr>
            <w:top w:val="single" w:sz="6" w:space="0" w:color="EBEBEB"/>
            <w:left w:val="none" w:sz="0" w:space="0" w:color="auto"/>
            <w:bottom w:val="none" w:sz="0" w:space="0" w:color="auto"/>
            <w:right w:val="none" w:sz="0" w:space="0" w:color="auto"/>
          </w:divBdr>
          <w:divsChild>
            <w:div w:id="1953516995">
              <w:marLeft w:val="0"/>
              <w:marRight w:val="0"/>
              <w:marTop w:val="0"/>
              <w:marBottom w:val="0"/>
              <w:divBdr>
                <w:top w:val="none" w:sz="0" w:space="0" w:color="auto"/>
                <w:left w:val="none" w:sz="0" w:space="0" w:color="auto"/>
                <w:bottom w:val="none" w:sz="0" w:space="0" w:color="auto"/>
                <w:right w:val="none" w:sz="0" w:space="0" w:color="auto"/>
              </w:divBdr>
              <w:divsChild>
                <w:div w:id="687408348">
                  <w:marLeft w:val="0"/>
                  <w:marRight w:val="0"/>
                  <w:marTop w:val="0"/>
                  <w:marBottom w:val="0"/>
                  <w:divBdr>
                    <w:top w:val="none" w:sz="0" w:space="0" w:color="auto"/>
                    <w:left w:val="none" w:sz="0" w:space="0" w:color="auto"/>
                    <w:bottom w:val="none" w:sz="0" w:space="0" w:color="auto"/>
                    <w:right w:val="none" w:sz="0" w:space="0" w:color="auto"/>
                  </w:divBdr>
                  <w:divsChild>
                    <w:div w:id="58409166">
                      <w:marLeft w:val="0"/>
                      <w:marRight w:val="0"/>
                      <w:marTop w:val="0"/>
                      <w:marBottom w:val="0"/>
                      <w:divBdr>
                        <w:top w:val="none" w:sz="0" w:space="0" w:color="auto"/>
                        <w:left w:val="none" w:sz="0" w:space="0" w:color="auto"/>
                        <w:bottom w:val="none" w:sz="0" w:space="0" w:color="auto"/>
                        <w:right w:val="none" w:sz="0" w:space="0" w:color="auto"/>
                      </w:divBdr>
                      <w:divsChild>
                        <w:div w:id="1340356298">
                          <w:marLeft w:val="0"/>
                          <w:marRight w:val="0"/>
                          <w:marTop w:val="0"/>
                          <w:marBottom w:val="0"/>
                          <w:divBdr>
                            <w:top w:val="none" w:sz="0" w:space="0" w:color="auto"/>
                            <w:left w:val="none" w:sz="0" w:space="0" w:color="auto"/>
                            <w:bottom w:val="none" w:sz="0" w:space="0" w:color="auto"/>
                            <w:right w:val="none" w:sz="0" w:space="0" w:color="auto"/>
                          </w:divBdr>
                          <w:divsChild>
                            <w:div w:id="501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55628">
      <w:bodyDiv w:val="1"/>
      <w:marLeft w:val="0"/>
      <w:marRight w:val="0"/>
      <w:marTop w:val="0"/>
      <w:marBottom w:val="0"/>
      <w:divBdr>
        <w:top w:val="none" w:sz="0" w:space="0" w:color="auto"/>
        <w:left w:val="none" w:sz="0" w:space="0" w:color="auto"/>
        <w:bottom w:val="none" w:sz="0" w:space="0" w:color="auto"/>
        <w:right w:val="none" w:sz="0" w:space="0" w:color="auto"/>
      </w:divBdr>
      <w:divsChild>
        <w:div w:id="1470787428">
          <w:marLeft w:val="0"/>
          <w:marRight w:val="0"/>
          <w:marTop w:val="30"/>
          <w:marBottom w:val="60"/>
          <w:divBdr>
            <w:top w:val="none" w:sz="0" w:space="0" w:color="auto"/>
            <w:left w:val="none" w:sz="0" w:space="0" w:color="auto"/>
            <w:bottom w:val="none" w:sz="0" w:space="0" w:color="auto"/>
            <w:right w:val="none" w:sz="0" w:space="0" w:color="auto"/>
          </w:divBdr>
          <w:divsChild>
            <w:div w:id="1326976437">
              <w:marLeft w:val="0"/>
              <w:marRight w:val="0"/>
              <w:marTop w:val="0"/>
              <w:marBottom w:val="0"/>
              <w:divBdr>
                <w:top w:val="none" w:sz="0" w:space="0" w:color="auto"/>
                <w:left w:val="none" w:sz="0" w:space="0" w:color="auto"/>
                <w:bottom w:val="none" w:sz="0" w:space="0" w:color="auto"/>
                <w:right w:val="none" w:sz="0" w:space="0" w:color="auto"/>
              </w:divBdr>
              <w:divsChild>
                <w:div w:id="109738685">
                  <w:marLeft w:val="0"/>
                  <w:marRight w:val="0"/>
                  <w:marTop w:val="0"/>
                  <w:marBottom w:val="0"/>
                  <w:divBdr>
                    <w:top w:val="none" w:sz="0" w:space="0" w:color="auto"/>
                    <w:left w:val="none" w:sz="0" w:space="0" w:color="auto"/>
                    <w:bottom w:val="none" w:sz="0" w:space="0" w:color="auto"/>
                    <w:right w:val="none" w:sz="0" w:space="0" w:color="auto"/>
                  </w:divBdr>
                  <w:divsChild>
                    <w:div w:id="1362511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94329389">
      <w:bodyDiv w:val="1"/>
      <w:marLeft w:val="0"/>
      <w:marRight w:val="0"/>
      <w:marTop w:val="0"/>
      <w:marBottom w:val="0"/>
      <w:divBdr>
        <w:top w:val="none" w:sz="0" w:space="0" w:color="auto"/>
        <w:left w:val="none" w:sz="0" w:space="0" w:color="auto"/>
        <w:bottom w:val="none" w:sz="0" w:space="0" w:color="auto"/>
        <w:right w:val="none" w:sz="0" w:space="0" w:color="auto"/>
      </w:divBdr>
    </w:div>
    <w:div w:id="1901936979">
      <w:bodyDiv w:val="1"/>
      <w:marLeft w:val="0"/>
      <w:marRight w:val="0"/>
      <w:marTop w:val="0"/>
      <w:marBottom w:val="0"/>
      <w:divBdr>
        <w:top w:val="none" w:sz="0" w:space="0" w:color="auto"/>
        <w:left w:val="none" w:sz="0" w:space="0" w:color="auto"/>
        <w:bottom w:val="none" w:sz="0" w:space="0" w:color="auto"/>
        <w:right w:val="none" w:sz="0" w:space="0" w:color="auto"/>
      </w:divBdr>
    </w:div>
    <w:div w:id="1985239061">
      <w:bodyDiv w:val="1"/>
      <w:marLeft w:val="0"/>
      <w:marRight w:val="0"/>
      <w:marTop w:val="0"/>
      <w:marBottom w:val="0"/>
      <w:divBdr>
        <w:top w:val="none" w:sz="0" w:space="0" w:color="auto"/>
        <w:left w:val="none" w:sz="0" w:space="0" w:color="auto"/>
        <w:bottom w:val="none" w:sz="0" w:space="0" w:color="auto"/>
        <w:right w:val="none" w:sz="0" w:space="0" w:color="auto"/>
      </w:divBdr>
      <w:divsChild>
        <w:div w:id="1136289415">
          <w:marLeft w:val="0"/>
          <w:marRight w:val="0"/>
          <w:marTop w:val="0"/>
          <w:marBottom w:val="0"/>
          <w:divBdr>
            <w:top w:val="none" w:sz="0" w:space="0" w:color="auto"/>
            <w:left w:val="none" w:sz="0" w:space="0" w:color="auto"/>
            <w:bottom w:val="none" w:sz="0" w:space="0" w:color="auto"/>
            <w:right w:val="none" w:sz="0" w:space="0" w:color="auto"/>
          </w:divBdr>
          <w:divsChild>
            <w:div w:id="7211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full/10.1080/2331186X.2016.1149959" TargetMode="External"/><Relationship Id="rId13" Type="http://schemas.openxmlformats.org/officeDocument/2006/relationships/hyperlink" Target="https://doi" TargetMode="External"/><Relationship Id="rId18" Type="http://schemas.openxmlformats.org/officeDocument/2006/relationships/hyperlink" Target="https://doi.org/10.1016/j.ssresearch.2009.05.0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93/elt/56.2.128"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www.sciencedirect.com/science/journal/0049089X/38/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encedirect.com/science/journal/0049089X" TargetMode="External"/><Relationship Id="rId20" Type="http://schemas.openxmlformats.org/officeDocument/2006/relationships/hyperlink" Target="http://dx.d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full/10.1080/2331186X.2016.114995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searchgate.net/journal/1098-2140_American_Journal_of_Evaluation" TargetMode="External"/><Relationship Id="rId23" Type="http://schemas.openxmlformats.org/officeDocument/2006/relationships/hyperlink" Target="https://doi.org/10.1111/hequ.12025" TargetMode="External"/><Relationship Id="rId10" Type="http://schemas.openxmlformats.org/officeDocument/2006/relationships/hyperlink" Target="https://www.researchgate.net/scientific-contributions/2011227894_Min-Hsiung_Huang" TargetMode="External"/><Relationship Id="rId19" Type="http://schemas.openxmlformats.org/officeDocument/2006/relationships/hyperlink" Target="https://doi" TargetMode="External"/><Relationship Id="rId4" Type="http://schemas.openxmlformats.org/officeDocument/2006/relationships/settings" Target="settings.xml"/><Relationship Id="rId9" Type="http://schemas.openxmlformats.org/officeDocument/2006/relationships/hyperlink" Target="http://www.tandfonline.com/doi/full/10.1080/2331186X.2016.1149959" TargetMode="External"/><Relationship Id="rId14" Type="http://schemas.openxmlformats.org/officeDocument/2006/relationships/hyperlink" Target="https://link.springer.com/chapter/10.1007/3-540-64574-8_453" TargetMode="External"/><Relationship Id="rId22" Type="http://schemas.openxmlformats.org/officeDocument/2006/relationships/hyperlink" Target="https://doi.org/10.1093/elt/cci077"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heidaritabrizi@gmail.com" TargetMode="External"/><Relationship Id="rId1" Type="http://schemas.openxmlformats.org/officeDocument/2006/relationships/hyperlink" Target="mailto:azichala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FB95-E16B-4BDC-BEC1-765E6021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4060</TotalTime>
  <Pages>15</Pages>
  <Words>7582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628</cp:revision>
  <cp:lastPrinted>2019-05-16T10:42:00Z</cp:lastPrinted>
  <dcterms:created xsi:type="dcterms:W3CDTF">2018-04-28T06:21:00Z</dcterms:created>
  <dcterms:modified xsi:type="dcterms:W3CDTF">2019-06-05T09:59:00Z</dcterms:modified>
</cp:coreProperties>
</file>