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E6941" w14:textId="77777777" w:rsidR="006A3015" w:rsidRDefault="00E86AFD" w:rsidP="00773293">
      <w:pPr>
        <w:spacing w:after="120" w:line="240" w:lineRule="auto"/>
        <w:jc w:val="center"/>
        <w:rPr>
          <w:rFonts w:asciiTheme="majorBidi" w:hAnsiTheme="majorBidi" w:cstheme="majorBidi"/>
          <w:b/>
          <w:bCs/>
          <w:sz w:val="28"/>
          <w:szCs w:val="28"/>
        </w:rPr>
      </w:pPr>
      <w:r w:rsidRPr="001F2624">
        <w:rPr>
          <w:rFonts w:asciiTheme="majorBidi" w:hAnsiTheme="majorBidi" w:cstheme="majorBidi"/>
          <w:b/>
          <w:bCs/>
          <w:sz w:val="28"/>
          <w:szCs w:val="28"/>
        </w:rPr>
        <w:t xml:space="preserve">Task-based </w:t>
      </w:r>
      <w:r w:rsidR="00355C8A" w:rsidRPr="001F2624">
        <w:rPr>
          <w:rFonts w:asciiTheme="majorBidi" w:hAnsiTheme="majorBidi" w:cstheme="majorBidi"/>
          <w:b/>
          <w:bCs/>
          <w:sz w:val="28"/>
          <w:szCs w:val="28"/>
        </w:rPr>
        <w:t>Metaco</w:t>
      </w:r>
      <w:r w:rsidR="008D20DB" w:rsidRPr="001F2624">
        <w:rPr>
          <w:rFonts w:asciiTheme="majorBidi" w:hAnsiTheme="majorBidi" w:cstheme="majorBidi"/>
          <w:b/>
          <w:bCs/>
          <w:sz w:val="28"/>
          <w:szCs w:val="28"/>
        </w:rPr>
        <w:t>gnitive</w:t>
      </w:r>
      <w:r w:rsidRPr="001F2624">
        <w:rPr>
          <w:rFonts w:asciiTheme="majorBidi" w:hAnsiTheme="majorBidi" w:cstheme="majorBidi"/>
          <w:b/>
          <w:bCs/>
          <w:sz w:val="28"/>
          <w:szCs w:val="28"/>
        </w:rPr>
        <w:t xml:space="preserve"> Instruction </w:t>
      </w:r>
      <w:r w:rsidR="00773293">
        <w:rPr>
          <w:rFonts w:asciiTheme="majorBidi" w:hAnsiTheme="majorBidi" w:cstheme="majorBidi"/>
          <w:b/>
          <w:bCs/>
          <w:sz w:val="28"/>
          <w:szCs w:val="28"/>
        </w:rPr>
        <w:t>A</w:t>
      </w:r>
      <w:r w:rsidRPr="001F2624">
        <w:rPr>
          <w:rFonts w:asciiTheme="majorBidi" w:hAnsiTheme="majorBidi" w:cstheme="majorBidi"/>
          <w:b/>
          <w:bCs/>
          <w:sz w:val="28"/>
          <w:szCs w:val="28"/>
        </w:rPr>
        <w:t>pproach</w:t>
      </w:r>
      <w:r w:rsidR="001C6FD7" w:rsidRPr="001F2624">
        <w:rPr>
          <w:rFonts w:asciiTheme="majorBidi" w:hAnsiTheme="majorBidi" w:cstheme="majorBidi"/>
          <w:b/>
          <w:bCs/>
          <w:sz w:val="28"/>
          <w:szCs w:val="28"/>
        </w:rPr>
        <w:t xml:space="preserve"> </w:t>
      </w:r>
      <w:r w:rsidRPr="001F2624">
        <w:rPr>
          <w:rFonts w:asciiTheme="majorBidi" w:hAnsiTheme="majorBidi" w:cstheme="majorBidi"/>
          <w:b/>
          <w:bCs/>
          <w:sz w:val="28"/>
          <w:szCs w:val="28"/>
        </w:rPr>
        <w:t xml:space="preserve">to </w:t>
      </w:r>
      <w:r w:rsidR="00355C8A" w:rsidRPr="001F2624">
        <w:rPr>
          <w:rFonts w:asciiTheme="majorBidi" w:hAnsiTheme="majorBidi" w:cstheme="majorBidi"/>
          <w:b/>
          <w:bCs/>
          <w:sz w:val="28"/>
          <w:szCs w:val="28"/>
        </w:rPr>
        <w:t>Self-regulation in Listening Compr</w:t>
      </w:r>
      <w:r w:rsidRPr="001F2624">
        <w:rPr>
          <w:rFonts w:asciiTheme="majorBidi" w:hAnsiTheme="majorBidi" w:cstheme="majorBidi"/>
          <w:b/>
          <w:bCs/>
          <w:sz w:val="28"/>
          <w:szCs w:val="28"/>
        </w:rPr>
        <w:t>ehension</w:t>
      </w:r>
    </w:p>
    <w:p w14:paraId="71A8A419" w14:textId="77777777" w:rsidR="00D613E8" w:rsidRDefault="00D613E8" w:rsidP="00D613E8">
      <w:pPr>
        <w:spacing w:after="0" w:line="240" w:lineRule="auto"/>
        <w:jc w:val="center"/>
        <w:rPr>
          <w:rFonts w:asciiTheme="majorBidi" w:hAnsiTheme="majorBidi" w:cstheme="majorBidi"/>
        </w:rPr>
      </w:pPr>
      <w:r w:rsidRPr="00FA5CB5">
        <w:rPr>
          <w:rStyle w:val="FootnoteReference"/>
          <w:rFonts w:asciiTheme="majorBidi" w:hAnsiTheme="majorBidi" w:cstheme="majorBidi"/>
        </w:rPr>
        <w:footnoteReference w:id="1"/>
      </w:r>
      <w:r w:rsidRPr="00681288">
        <w:t xml:space="preserve"> </w:t>
      </w:r>
      <w:r w:rsidRPr="00D613E8">
        <w:rPr>
          <w:rFonts w:asciiTheme="majorBidi" w:hAnsiTheme="majorBidi" w:cstheme="majorBidi"/>
        </w:rPr>
        <w:t>Parisa Mohamadpour</w:t>
      </w:r>
    </w:p>
    <w:p w14:paraId="6DAC49D7" w14:textId="77777777" w:rsidR="00D613E8" w:rsidRDefault="00D613E8" w:rsidP="00D613E8">
      <w:pPr>
        <w:spacing w:after="0" w:line="240" w:lineRule="auto"/>
        <w:jc w:val="center"/>
        <w:rPr>
          <w:rFonts w:asciiTheme="majorBidi" w:hAnsiTheme="majorBidi" w:cstheme="majorBidi"/>
        </w:rPr>
      </w:pPr>
      <w:r>
        <w:rPr>
          <w:rStyle w:val="FootnoteReference"/>
          <w:rFonts w:asciiTheme="majorBidi" w:hAnsiTheme="majorBidi" w:cstheme="majorBidi"/>
        </w:rPr>
        <w:footnoteReference w:id="2"/>
      </w:r>
      <w:r w:rsidRPr="00D613E8">
        <w:rPr>
          <w:rFonts w:asciiTheme="majorBidi" w:hAnsiTheme="majorBidi" w:cstheme="majorBidi"/>
        </w:rPr>
        <w:t>Mohammad Reza Talebinejad</w:t>
      </w:r>
      <w:r w:rsidR="00B474CA">
        <w:rPr>
          <w:rFonts w:asciiTheme="majorBidi" w:hAnsiTheme="majorBidi" w:cstheme="majorBidi"/>
        </w:rPr>
        <w:t>*</w:t>
      </w:r>
    </w:p>
    <w:p w14:paraId="0599B991" w14:textId="77777777" w:rsidR="00D613E8" w:rsidRPr="00681288" w:rsidRDefault="00D613E8" w:rsidP="00D613E8">
      <w:pPr>
        <w:spacing w:after="0" w:line="240" w:lineRule="auto"/>
        <w:rPr>
          <w:rFonts w:asciiTheme="majorBidi" w:hAnsiTheme="majorBidi" w:cstheme="majorBidi"/>
          <w:color w:val="333333"/>
          <w:sz w:val="18"/>
          <w:szCs w:val="18"/>
          <w:shd w:val="clear" w:color="auto" w:fill="FFFFFF"/>
        </w:rPr>
      </w:pPr>
      <w:r w:rsidRPr="00B474CA">
        <w:rPr>
          <w:rFonts w:asciiTheme="majorBidi" w:hAnsiTheme="majorBidi" w:cstheme="majorBidi"/>
          <w:color w:val="333333"/>
          <w:sz w:val="18"/>
          <w:szCs w:val="18"/>
          <w:shd w:val="clear" w:color="auto" w:fill="FFFFFF"/>
        </w:rPr>
        <w:t>IJEAP-180</w:t>
      </w:r>
      <w:r w:rsidR="00B474CA" w:rsidRPr="00B474CA">
        <w:rPr>
          <w:rFonts w:asciiTheme="majorBidi" w:hAnsiTheme="majorBidi" w:cstheme="majorBidi"/>
          <w:color w:val="333333"/>
          <w:sz w:val="18"/>
          <w:szCs w:val="18"/>
          <w:shd w:val="clear" w:color="auto" w:fill="FFFFFF"/>
        </w:rPr>
        <w:t>7</w:t>
      </w:r>
      <w:r w:rsidRPr="00B474CA">
        <w:rPr>
          <w:rFonts w:asciiTheme="majorBidi" w:hAnsiTheme="majorBidi" w:cstheme="majorBidi"/>
          <w:color w:val="333333"/>
          <w:sz w:val="18"/>
          <w:szCs w:val="18"/>
          <w:shd w:val="clear" w:color="auto" w:fill="FFFFFF"/>
        </w:rPr>
        <w:t>-12</w:t>
      </w:r>
      <w:r w:rsidR="00B474CA" w:rsidRPr="00B474CA">
        <w:rPr>
          <w:rFonts w:asciiTheme="majorBidi" w:hAnsiTheme="majorBidi" w:cstheme="majorBidi"/>
          <w:color w:val="333333"/>
          <w:sz w:val="18"/>
          <w:szCs w:val="18"/>
          <w:shd w:val="clear" w:color="auto" w:fill="FFFFFF"/>
        </w:rPr>
        <w:t>48</w:t>
      </w:r>
    </w:p>
    <w:p w14:paraId="757097E9" w14:textId="77777777" w:rsidR="00EE4A21" w:rsidRPr="001F2624" w:rsidRDefault="00D613E8" w:rsidP="00D613E8">
      <w:pPr>
        <w:spacing w:after="0" w:line="240" w:lineRule="auto"/>
        <w:jc w:val="center"/>
        <w:rPr>
          <w:rFonts w:asciiTheme="majorBidi" w:hAnsiTheme="majorBidi" w:cstheme="majorBidi"/>
          <w:b/>
          <w:bCs/>
          <w:sz w:val="28"/>
          <w:szCs w:val="28"/>
        </w:rPr>
      </w:pPr>
      <w:r w:rsidRPr="00FA5CB5">
        <w:rPr>
          <w:rStyle w:val="FootnoteReference"/>
          <w:rFonts w:asciiTheme="majorBidi" w:hAnsiTheme="majorBidi" w:cstheme="majorBidi"/>
          <w:color w:val="333333"/>
          <w:shd w:val="clear" w:color="auto" w:fill="FFFFFF"/>
        </w:rPr>
        <w:footnoteReference w:id="3"/>
      </w:r>
      <w:r w:rsidRPr="00681288">
        <w:t xml:space="preserve"> </w:t>
      </w:r>
      <w:r w:rsidRPr="00D613E8">
        <w:rPr>
          <w:rFonts w:asciiTheme="majorBidi" w:hAnsiTheme="majorBidi" w:cstheme="majorBidi"/>
          <w:color w:val="333333"/>
          <w:shd w:val="clear" w:color="auto" w:fill="FFFFFF"/>
        </w:rPr>
        <w:t>Omid Tabatabaei</w:t>
      </w:r>
    </w:p>
    <w:p w14:paraId="7B80B43C" w14:textId="77777777" w:rsidR="00EE4A21" w:rsidRDefault="00EE4A21" w:rsidP="0019078C">
      <w:pPr>
        <w:spacing w:after="120" w:line="240" w:lineRule="auto"/>
        <w:rPr>
          <w:rFonts w:asciiTheme="majorBidi" w:hAnsiTheme="majorBidi" w:cstheme="majorBidi"/>
          <w:b/>
          <w:bCs/>
        </w:rPr>
      </w:pPr>
    </w:p>
    <w:p w14:paraId="138F65E6" w14:textId="77777777" w:rsidR="00051E19" w:rsidRPr="001F2624" w:rsidRDefault="00051E19" w:rsidP="0019078C">
      <w:pPr>
        <w:spacing w:after="120" w:line="240" w:lineRule="auto"/>
        <w:rPr>
          <w:rFonts w:asciiTheme="majorBidi" w:hAnsiTheme="majorBidi" w:cstheme="majorBidi"/>
          <w:b/>
          <w:bCs/>
        </w:rPr>
      </w:pPr>
      <w:r w:rsidRPr="001F2624">
        <w:rPr>
          <w:rFonts w:asciiTheme="majorBidi" w:hAnsiTheme="majorBidi" w:cstheme="majorBidi"/>
          <w:b/>
          <w:bCs/>
        </w:rPr>
        <w:t xml:space="preserve">Abstract </w:t>
      </w:r>
    </w:p>
    <w:p w14:paraId="7F44E505" w14:textId="77777777" w:rsidR="00DE6A78" w:rsidRDefault="00361D11" w:rsidP="00D613E8">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Improvin</w:t>
      </w:r>
      <w:r w:rsidR="003D10C3" w:rsidRPr="001F2624">
        <w:rPr>
          <w:rFonts w:asciiTheme="majorBidi" w:hAnsiTheme="majorBidi" w:cstheme="majorBidi"/>
        </w:rPr>
        <w:t>g listening comprehension skill</w:t>
      </w:r>
      <w:r w:rsidRPr="001F2624">
        <w:rPr>
          <w:rFonts w:asciiTheme="majorBidi" w:hAnsiTheme="majorBidi" w:cstheme="majorBidi"/>
        </w:rPr>
        <w:t xml:space="preserve"> is one of the urgent c</w:t>
      </w:r>
      <w:r w:rsidR="00B17D47" w:rsidRPr="001F2624">
        <w:rPr>
          <w:rFonts w:asciiTheme="majorBidi" w:hAnsiTheme="majorBidi" w:cstheme="majorBidi"/>
        </w:rPr>
        <w:t>ontemporary educational needs</w:t>
      </w:r>
      <w:r w:rsidR="006D4D14">
        <w:rPr>
          <w:rFonts w:asciiTheme="majorBidi" w:hAnsiTheme="majorBidi" w:cstheme="majorBidi"/>
        </w:rPr>
        <w:t xml:space="preserve"> in the field of second</w:t>
      </w:r>
      <w:r w:rsidRPr="001F2624">
        <w:rPr>
          <w:rFonts w:asciiTheme="majorBidi" w:hAnsiTheme="majorBidi" w:cstheme="majorBidi"/>
        </w:rPr>
        <w:t xml:space="preserve"> language </w:t>
      </w:r>
      <w:r w:rsidR="00FA01C3" w:rsidRPr="001F2624">
        <w:rPr>
          <w:rFonts w:asciiTheme="majorBidi" w:hAnsiTheme="majorBidi" w:cstheme="majorBidi"/>
        </w:rPr>
        <w:t xml:space="preserve">acquisition and </w:t>
      </w:r>
      <w:r w:rsidR="00F93C15" w:rsidRPr="001F2624">
        <w:rPr>
          <w:rFonts w:asciiTheme="majorBidi" w:hAnsiTheme="majorBidi" w:cstheme="majorBidi"/>
        </w:rPr>
        <w:t>meta</w:t>
      </w:r>
      <w:r w:rsidR="008D20DB" w:rsidRPr="001F2624">
        <w:rPr>
          <w:rFonts w:asciiTheme="majorBidi" w:hAnsiTheme="majorBidi" w:cstheme="majorBidi"/>
        </w:rPr>
        <w:t>cognitive strategies are</w:t>
      </w:r>
      <w:r w:rsidR="00FA01C3" w:rsidRPr="001F2624">
        <w:rPr>
          <w:rFonts w:asciiTheme="majorBidi" w:hAnsiTheme="majorBidi" w:cstheme="majorBidi"/>
        </w:rPr>
        <w:t xml:space="preserve"> proved to help learners </w:t>
      </w:r>
      <w:r w:rsidR="00F93C15" w:rsidRPr="001F2624">
        <w:rPr>
          <w:rFonts w:asciiTheme="majorBidi" w:hAnsiTheme="majorBidi" w:cstheme="majorBidi"/>
        </w:rPr>
        <w:t xml:space="preserve">manage and </w:t>
      </w:r>
      <w:r w:rsidR="00B17D47" w:rsidRPr="001F2624">
        <w:rPr>
          <w:rFonts w:asciiTheme="majorBidi" w:hAnsiTheme="majorBidi" w:cstheme="majorBidi"/>
        </w:rPr>
        <w:t>self-</w:t>
      </w:r>
      <w:r w:rsidR="00F93C15" w:rsidRPr="001F2624">
        <w:rPr>
          <w:rFonts w:asciiTheme="majorBidi" w:hAnsiTheme="majorBidi" w:cstheme="majorBidi"/>
        </w:rPr>
        <w:t>regulate their listening</w:t>
      </w:r>
      <w:r w:rsidR="00FA01C3" w:rsidRPr="001F2624">
        <w:rPr>
          <w:rFonts w:asciiTheme="majorBidi" w:hAnsiTheme="majorBidi" w:cstheme="majorBidi"/>
        </w:rPr>
        <w:t xml:space="preserve"> and overcome deficiencies.</w:t>
      </w:r>
      <w:r w:rsidR="00843311" w:rsidRPr="001F2624">
        <w:rPr>
          <w:rFonts w:asciiTheme="majorBidi" w:hAnsiTheme="majorBidi" w:cstheme="majorBidi"/>
        </w:rPr>
        <w:t xml:space="preserve"> </w:t>
      </w:r>
      <w:r w:rsidR="0018213D" w:rsidRPr="001F2624">
        <w:rPr>
          <w:rFonts w:asciiTheme="majorBidi" w:hAnsiTheme="majorBidi" w:cstheme="majorBidi"/>
        </w:rPr>
        <w:t>A</w:t>
      </w:r>
      <w:r w:rsidR="008D20DB" w:rsidRPr="001F2624">
        <w:rPr>
          <w:rFonts w:asciiTheme="majorBidi" w:hAnsiTheme="majorBidi" w:cstheme="majorBidi"/>
        </w:rPr>
        <w:t>lthough metacognitive</w:t>
      </w:r>
      <w:r w:rsidR="00EC0372" w:rsidRPr="001F2624">
        <w:rPr>
          <w:rFonts w:asciiTheme="majorBidi" w:hAnsiTheme="majorBidi" w:cstheme="majorBidi"/>
        </w:rPr>
        <w:t xml:space="preserve"> instruction is underscored by</w:t>
      </w:r>
      <w:r w:rsidR="0018213D" w:rsidRPr="001F2624">
        <w:rPr>
          <w:rFonts w:asciiTheme="majorBidi" w:hAnsiTheme="majorBidi" w:cstheme="majorBidi"/>
        </w:rPr>
        <w:t xml:space="preserve"> previous research</w:t>
      </w:r>
      <w:r w:rsidR="00843311" w:rsidRPr="001F2624">
        <w:rPr>
          <w:rFonts w:asciiTheme="majorBidi" w:hAnsiTheme="majorBidi" w:cstheme="majorBidi"/>
        </w:rPr>
        <w:t>,</w:t>
      </w:r>
      <w:r w:rsidR="0018213D" w:rsidRPr="001F2624">
        <w:rPr>
          <w:rFonts w:asciiTheme="majorBidi" w:hAnsiTheme="majorBidi" w:cstheme="majorBidi"/>
        </w:rPr>
        <w:t xml:space="preserve"> task-based metacognitive instruction is seriously under</w:t>
      </w:r>
      <w:r w:rsidR="009B433F">
        <w:rPr>
          <w:rFonts w:asciiTheme="majorBidi" w:hAnsiTheme="majorBidi" w:cstheme="majorBidi"/>
        </w:rPr>
        <w:t>-</w:t>
      </w:r>
      <w:r w:rsidR="0018213D" w:rsidRPr="001F2624">
        <w:rPr>
          <w:rFonts w:asciiTheme="majorBidi" w:hAnsiTheme="majorBidi" w:cstheme="majorBidi"/>
        </w:rPr>
        <w:t xml:space="preserve">researched. Given this, </w:t>
      </w:r>
      <w:r w:rsidR="0050016B" w:rsidRPr="001F2624">
        <w:rPr>
          <w:rFonts w:asciiTheme="majorBidi" w:hAnsiTheme="majorBidi" w:cstheme="majorBidi"/>
        </w:rPr>
        <w:t xml:space="preserve">the present paper </w:t>
      </w:r>
      <w:r w:rsidRPr="001F2624">
        <w:rPr>
          <w:rFonts w:asciiTheme="majorBidi" w:hAnsiTheme="majorBidi" w:cstheme="majorBidi"/>
        </w:rPr>
        <w:t xml:space="preserve">compared the efficacy of two </w:t>
      </w:r>
      <w:r w:rsidR="0018213D" w:rsidRPr="001F2624">
        <w:rPr>
          <w:rFonts w:asciiTheme="majorBidi" w:hAnsiTheme="majorBidi" w:cstheme="majorBidi"/>
        </w:rPr>
        <w:t xml:space="preserve">task-based </w:t>
      </w:r>
      <w:r w:rsidR="008D20DB" w:rsidRPr="001F2624">
        <w:rPr>
          <w:rFonts w:asciiTheme="majorBidi" w:hAnsiTheme="majorBidi" w:cstheme="majorBidi"/>
        </w:rPr>
        <w:t>metacognitive</w:t>
      </w:r>
      <w:r w:rsidRPr="001F2624">
        <w:rPr>
          <w:rFonts w:asciiTheme="majorBidi" w:hAnsiTheme="majorBidi" w:cstheme="majorBidi"/>
        </w:rPr>
        <w:t xml:space="preserve"> instruction models on learners’ self-regulation</w:t>
      </w:r>
      <w:r w:rsidR="009C69A0" w:rsidRPr="001F2624">
        <w:rPr>
          <w:rFonts w:asciiTheme="majorBidi" w:hAnsiTheme="majorBidi" w:cstheme="majorBidi"/>
        </w:rPr>
        <w:t xml:space="preserve"> in listening comprehension</w:t>
      </w:r>
      <w:r w:rsidR="00CB72EF" w:rsidRPr="001F2624">
        <w:rPr>
          <w:rFonts w:asciiTheme="majorBidi" w:hAnsiTheme="majorBidi" w:cstheme="majorBidi"/>
        </w:rPr>
        <w:t xml:space="preserve">. </w:t>
      </w:r>
      <w:r w:rsidRPr="001F2624">
        <w:rPr>
          <w:rFonts w:asciiTheme="majorBidi" w:hAnsiTheme="majorBidi" w:cstheme="majorBidi"/>
        </w:rPr>
        <w:t xml:space="preserve">Participants, </w:t>
      </w:r>
      <w:r w:rsidR="00CB72EF" w:rsidRPr="001F2624">
        <w:rPr>
          <w:rFonts w:asciiTheme="majorBidi" w:hAnsiTheme="majorBidi" w:cstheme="majorBidi"/>
        </w:rPr>
        <w:t xml:space="preserve">63 Iranian </w:t>
      </w:r>
      <w:r w:rsidRPr="001F2624">
        <w:rPr>
          <w:rFonts w:asciiTheme="majorBidi" w:hAnsiTheme="majorBidi" w:cstheme="majorBidi"/>
        </w:rPr>
        <w:t>EFL learners, were selected by random sampling and were randomly div</w:t>
      </w:r>
      <w:r w:rsidR="00E8454E" w:rsidRPr="001F2624">
        <w:rPr>
          <w:rFonts w:asciiTheme="majorBidi" w:hAnsiTheme="majorBidi" w:cstheme="majorBidi"/>
        </w:rPr>
        <w:t>ided into 2 experimental</w:t>
      </w:r>
      <w:r w:rsidR="00EE4A21">
        <w:rPr>
          <w:rFonts w:asciiTheme="majorBidi" w:hAnsiTheme="majorBidi" w:cstheme="majorBidi"/>
        </w:rPr>
        <w:t xml:space="preserve"> </w:t>
      </w:r>
      <w:r w:rsidR="006B1CC5" w:rsidRPr="001F2624">
        <w:rPr>
          <w:rFonts w:asciiTheme="majorBidi" w:hAnsiTheme="majorBidi" w:cstheme="majorBidi"/>
        </w:rPr>
        <w:t xml:space="preserve">and 2 control groups. </w:t>
      </w:r>
      <w:r w:rsidR="00E8454E" w:rsidRPr="001F2624">
        <w:rPr>
          <w:rFonts w:asciiTheme="majorBidi" w:hAnsiTheme="majorBidi" w:cstheme="majorBidi"/>
        </w:rPr>
        <w:t>Over a</w:t>
      </w:r>
      <w:r w:rsidR="005A7525" w:rsidRPr="001F2624">
        <w:rPr>
          <w:rFonts w:asciiTheme="majorBidi" w:hAnsiTheme="majorBidi" w:cstheme="majorBidi"/>
        </w:rPr>
        <w:t xml:space="preserve"> </w:t>
      </w:r>
      <w:r w:rsidR="009B433F">
        <w:rPr>
          <w:rFonts w:asciiTheme="majorBidi" w:hAnsiTheme="majorBidi" w:cstheme="majorBidi"/>
        </w:rPr>
        <w:t>fourteen-</w:t>
      </w:r>
      <w:r w:rsidR="004E31C8" w:rsidRPr="001F2624">
        <w:rPr>
          <w:rFonts w:asciiTheme="majorBidi" w:hAnsiTheme="majorBidi" w:cstheme="majorBidi"/>
        </w:rPr>
        <w:t>session term,</w:t>
      </w:r>
      <w:r w:rsidR="00EE4A21">
        <w:rPr>
          <w:rFonts w:asciiTheme="majorBidi" w:hAnsiTheme="majorBidi" w:cstheme="majorBidi"/>
        </w:rPr>
        <w:t xml:space="preserve"> </w:t>
      </w:r>
      <w:r w:rsidR="005E7EDB" w:rsidRPr="001F2624">
        <w:rPr>
          <w:rFonts w:asciiTheme="majorBidi" w:hAnsiTheme="majorBidi" w:cstheme="majorBidi"/>
        </w:rPr>
        <w:t>experimental group</w:t>
      </w:r>
      <w:r w:rsidR="004E31C8" w:rsidRPr="001F2624">
        <w:rPr>
          <w:rFonts w:asciiTheme="majorBidi" w:hAnsiTheme="majorBidi" w:cstheme="majorBidi"/>
        </w:rPr>
        <w:t xml:space="preserve"> 1</w:t>
      </w:r>
      <w:r w:rsidR="00136D29">
        <w:rPr>
          <w:rFonts w:asciiTheme="majorBidi" w:hAnsiTheme="majorBidi" w:cstheme="majorBidi"/>
        </w:rPr>
        <w:t xml:space="preserve"> </w:t>
      </w:r>
      <w:r w:rsidRPr="001F2624">
        <w:rPr>
          <w:rFonts w:asciiTheme="majorBidi" w:hAnsiTheme="majorBidi" w:cstheme="majorBidi"/>
        </w:rPr>
        <w:t>was taught using Integrated Experiential Learning Task (IELT)</w:t>
      </w:r>
      <w:r w:rsidR="003D10C3" w:rsidRPr="001F2624">
        <w:rPr>
          <w:rFonts w:asciiTheme="majorBidi" w:hAnsiTheme="majorBidi" w:cstheme="majorBidi"/>
        </w:rPr>
        <w:t>,</w:t>
      </w:r>
      <w:r w:rsidR="00E8454E" w:rsidRPr="001F2624">
        <w:rPr>
          <w:rFonts w:asciiTheme="majorBidi" w:hAnsiTheme="majorBidi" w:cstheme="majorBidi"/>
        </w:rPr>
        <w:t xml:space="preserve"> a strategy-nonintegrated task-based model</w:t>
      </w:r>
      <w:r w:rsidRPr="001F2624">
        <w:rPr>
          <w:rFonts w:asciiTheme="majorBidi" w:hAnsiTheme="majorBidi" w:cstheme="majorBidi"/>
        </w:rPr>
        <w:t xml:space="preserve"> (Goh, 2010)</w:t>
      </w:r>
      <w:r w:rsidR="00E8454E" w:rsidRPr="001F2624">
        <w:rPr>
          <w:rFonts w:asciiTheme="majorBidi" w:hAnsiTheme="majorBidi" w:cstheme="majorBidi"/>
        </w:rPr>
        <w:t>,</w:t>
      </w:r>
      <w:r w:rsidR="004E31C8" w:rsidRPr="001F2624">
        <w:rPr>
          <w:rFonts w:asciiTheme="majorBidi" w:hAnsiTheme="majorBidi" w:cstheme="majorBidi"/>
        </w:rPr>
        <w:t xml:space="preserve"> while </w:t>
      </w:r>
      <w:r w:rsidR="005E7EDB" w:rsidRPr="001F2624">
        <w:rPr>
          <w:rFonts w:asciiTheme="majorBidi" w:hAnsiTheme="majorBidi" w:cstheme="majorBidi"/>
        </w:rPr>
        <w:t>experimental group</w:t>
      </w:r>
      <w:r w:rsidR="004E31C8" w:rsidRPr="001F2624">
        <w:rPr>
          <w:rFonts w:asciiTheme="majorBidi" w:hAnsiTheme="majorBidi" w:cstheme="majorBidi"/>
        </w:rPr>
        <w:t xml:space="preserve"> 2</w:t>
      </w:r>
      <w:r w:rsidR="00136D29">
        <w:rPr>
          <w:rFonts w:asciiTheme="majorBidi" w:hAnsiTheme="majorBidi" w:cstheme="majorBidi"/>
        </w:rPr>
        <w:t xml:space="preserve"> </w:t>
      </w:r>
      <w:r w:rsidRPr="001F2624">
        <w:rPr>
          <w:rFonts w:asciiTheme="majorBidi" w:hAnsiTheme="majorBidi" w:cstheme="majorBidi"/>
        </w:rPr>
        <w:t>was taught using Me</w:t>
      </w:r>
      <w:r w:rsidR="00E347DC" w:rsidRPr="001F2624">
        <w:rPr>
          <w:rFonts w:asciiTheme="majorBidi" w:hAnsiTheme="majorBidi" w:cstheme="majorBidi"/>
        </w:rPr>
        <w:t>tacognitive Pedagogical Cycle (MPC</w:t>
      </w:r>
      <w:r w:rsidRPr="001F2624">
        <w:rPr>
          <w:rFonts w:asciiTheme="majorBidi" w:hAnsiTheme="majorBidi" w:cstheme="majorBidi"/>
        </w:rPr>
        <w:t>)</w:t>
      </w:r>
      <w:r w:rsidR="00E8454E" w:rsidRPr="001F2624">
        <w:rPr>
          <w:rFonts w:asciiTheme="majorBidi" w:hAnsiTheme="majorBidi" w:cstheme="majorBidi"/>
        </w:rPr>
        <w:t>, a strategy-embedded task-based model</w:t>
      </w:r>
      <w:r w:rsidRPr="001F2624">
        <w:rPr>
          <w:rFonts w:asciiTheme="majorBidi" w:hAnsiTheme="majorBidi" w:cstheme="majorBidi"/>
        </w:rPr>
        <w:t xml:space="preserve"> (Vandergrift, 2004)</w:t>
      </w:r>
      <w:r w:rsidR="00142372" w:rsidRPr="001F2624">
        <w:rPr>
          <w:rFonts w:asciiTheme="majorBidi" w:hAnsiTheme="majorBidi" w:cstheme="majorBidi"/>
        </w:rPr>
        <w:t>.</w:t>
      </w:r>
      <w:r w:rsidR="002C00FC" w:rsidRPr="001F2624">
        <w:rPr>
          <w:rFonts w:asciiTheme="majorBidi" w:hAnsiTheme="majorBidi" w:cstheme="majorBidi"/>
        </w:rPr>
        <w:t xml:space="preserve"> </w:t>
      </w:r>
      <w:r w:rsidRPr="001F2624">
        <w:rPr>
          <w:rFonts w:asciiTheme="majorBidi" w:hAnsiTheme="majorBidi" w:cstheme="majorBidi"/>
        </w:rPr>
        <w:t>Development of self-regulation</w:t>
      </w:r>
      <w:r w:rsidR="003F01E1">
        <w:rPr>
          <w:rFonts w:asciiTheme="majorBidi" w:hAnsiTheme="majorBidi" w:cstheme="majorBidi"/>
        </w:rPr>
        <w:t xml:space="preserve"> in listening comprehension</w:t>
      </w:r>
      <w:r w:rsidRPr="001F2624">
        <w:rPr>
          <w:rFonts w:asciiTheme="majorBidi" w:hAnsiTheme="majorBidi" w:cstheme="majorBidi"/>
        </w:rPr>
        <w:t xml:space="preserve"> was tracked using Motivated Strategies for Learning Questionnaire (MSLQ), and developme</w:t>
      </w:r>
      <w:r w:rsidR="003F01E1">
        <w:rPr>
          <w:rFonts w:asciiTheme="majorBidi" w:hAnsiTheme="majorBidi" w:cstheme="majorBidi"/>
        </w:rPr>
        <w:t>nt of listening comprehension</w:t>
      </w:r>
      <w:r w:rsidRPr="001F2624">
        <w:rPr>
          <w:rFonts w:asciiTheme="majorBidi" w:hAnsiTheme="majorBidi" w:cstheme="majorBidi"/>
        </w:rPr>
        <w:t xml:space="preserve"> was measured using listening section of the Preliminary English Test (PET) administered at the beginning and end of the course. The listening section of the First Certificate in English (FCE) served as the listening transfer test. The statistical tests results revealed</w:t>
      </w:r>
      <w:r w:rsidR="00136D29">
        <w:rPr>
          <w:rFonts w:asciiTheme="majorBidi" w:hAnsiTheme="majorBidi" w:cstheme="majorBidi"/>
        </w:rPr>
        <w:t xml:space="preserve"> that</w:t>
      </w:r>
      <w:r w:rsidRPr="001F2624">
        <w:rPr>
          <w:rFonts w:asciiTheme="majorBidi" w:hAnsiTheme="majorBidi" w:cstheme="majorBidi"/>
        </w:rPr>
        <w:t xml:space="preserve"> both experimental groups </w:t>
      </w:r>
      <w:r w:rsidRPr="001F2624">
        <w:rPr>
          <w:rFonts w:asciiTheme="majorBidi" w:hAnsiTheme="majorBidi" w:cstheme="majorBidi"/>
          <w:lang w:bidi="fa-IR"/>
        </w:rPr>
        <w:t>significantly</w:t>
      </w:r>
      <w:r w:rsidRPr="001F2624">
        <w:rPr>
          <w:rFonts w:asciiTheme="majorBidi" w:hAnsiTheme="majorBidi" w:cstheme="majorBidi"/>
        </w:rPr>
        <w:t xml:space="preserve"> outperformed the control groups in </w:t>
      </w:r>
      <w:r w:rsidR="00CB72EF" w:rsidRPr="001F2624">
        <w:rPr>
          <w:rFonts w:asciiTheme="majorBidi" w:hAnsiTheme="majorBidi" w:cstheme="majorBidi"/>
        </w:rPr>
        <w:t xml:space="preserve">listening comprehension </w:t>
      </w:r>
      <w:r w:rsidRPr="001F2624">
        <w:rPr>
          <w:rFonts w:asciiTheme="majorBidi" w:hAnsiTheme="majorBidi" w:cstheme="majorBidi"/>
        </w:rPr>
        <w:t>and self-regulation</w:t>
      </w:r>
      <w:r w:rsidR="00136D29">
        <w:rPr>
          <w:rFonts w:asciiTheme="majorBidi" w:hAnsiTheme="majorBidi" w:cstheme="majorBidi"/>
        </w:rPr>
        <w:t xml:space="preserve"> </w:t>
      </w:r>
      <w:r w:rsidR="003F01E1">
        <w:rPr>
          <w:rFonts w:asciiTheme="majorBidi" w:hAnsiTheme="majorBidi" w:cstheme="majorBidi"/>
        </w:rPr>
        <w:t>listening comprehension</w:t>
      </w:r>
      <w:r w:rsidR="00CB72EF" w:rsidRPr="001F2624">
        <w:rPr>
          <w:rFonts w:asciiTheme="majorBidi" w:hAnsiTheme="majorBidi" w:cstheme="majorBidi"/>
        </w:rPr>
        <w:t xml:space="preserve"> with experimental group 1 </w:t>
      </w:r>
      <w:r w:rsidRPr="001F2624">
        <w:rPr>
          <w:rFonts w:asciiTheme="majorBidi" w:hAnsiTheme="majorBidi" w:cstheme="majorBidi"/>
        </w:rPr>
        <w:t xml:space="preserve">having </w:t>
      </w:r>
      <w:r w:rsidR="00CB72EF" w:rsidRPr="001F2624">
        <w:rPr>
          <w:rFonts w:asciiTheme="majorBidi" w:hAnsiTheme="majorBidi" w:cstheme="majorBidi"/>
        </w:rPr>
        <w:t>a high</w:t>
      </w:r>
      <w:r w:rsidR="003F01E1">
        <w:rPr>
          <w:rFonts w:asciiTheme="majorBidi" w:hAnsiTheme="majorBidi" w:cstheme="majorBidi"/>
        </w:rPr>
        <w:t>er</w:t>
      </w:r>
      <w:r w:rsidR="00CB72EF" w:rsidRPr="001F2624">
        <w:rPr>
          <w:rFonts w:asciiTheme="majorBidi" w:hAnsiTheme="majorBidi" w:cstheme="majorBidi"/>
        </w:rPr>
        <w:t xml:space="preserve"> effect size and showing </w:t>
      </w:r>
      <w:r w:rsidRPr="001F2624">
        <w:rPr>
          <w:rFonts w:asciiTheme="majorBidi" w:hAnsiTheme="majorBidi" w:cstheme="majorBidi"/>
        </w:rPr>
        <w:t>significant gain on transfer test.</w:t>
      </w:r>
    </w:p>
    <w:p w14:paraId="1112E110" w14:textId="77777777" w:rsidR="00361D11" w:rsidRPr="001F2624" w:rsidRDefault="00361D11" w:rsidP="00DE6A78">
      <w:pPr>
        <w:spacing w:after="120" w:line="240" w:lineRule="auto"/>
        <w:ind w:left="115" w:right="72"/>
        <w:jc w:val="both"/>
        <w:rPr>
          <w:rFonts w:asciiTheme="majorBidi" w:hAnsiTheme="majorBidi" w:cstheme="majorBidi"/>
        </w:rPr>
      </w:pPr>
      <w:r w:rsidRPr="00BD20F5">
        <w:rPr>
          <w:rFonts w:asciiTheme="majorBidi" w:hAnsiTheme="majorBidi" w:cstheme="majorBidi"/>
          <w:b/>
          <w:bCs/>
          <w:i/>
          <w:iCs/>
        </w:rPr>
        <w:t>Keywords</w:t>
      </w:r>
      <w:r w:rsidRPr="001F2624">
        <w:rPr>
          <w:rFonts w:asciiTheme="majorBidi" w:hAnsiTheme="majorBidi" w:cstheme="majorBidi"/>
        </w:rPr>
        <w:t xml:space="preserve">: </w:t>
      </w:r>
      <w:r w:rsidR="00AA3793" w:rsidRPr="001F2624">
        <w:rPr>
          <w:rFonts w:asciiTheme="majorBidi" w:hAnsiTheme="majorBidi" w:cstheme="majorBidi"/>
        </w:rPr>
        <w:t xml:space="preserve">Metacognitive </w:t>
      </w:r>
      <w:r w:rsidR="00773293" w:rsidRPr="001F2624">
        <w:rPr>
          <w:rFonts w:asciiTheme="majorBidi" w:hAnsiTheme="majorBidi" w:cstheme="majorBidi"/>
        </w:rPr>
        <w:t xml:space="preserve">Strategies, Metacognitive Instruction, </w:t>
      </w:r>
      <w:r w:rsidR="00AA3793" w:rsidRPr="001F2624">
        <w:rPr>
          <w:rFonts w:asciiTheme="majorBidi" w:hAnsiTheme="majorBidi" w:cstheme="majorBidi"/>
        </w:rPr>
        <w:t>TBLT</w:t>
      </w:r>
      <w:r w:rsidR="00773293" w:rsidRPr="001F2624">
        <w:rPr>
          <w:rFonts w:asciiTheme="majorBidi" w:hAnsiTheme="majorBidi" w:cstheme="majorBidi"/>
        </w:rPr>
        <w:t>, Self-</w:t>
      </w:r>
      <w:r w:rsidR="00773293">
        <w:rPr>
          <w:rFonts w:asciiTheme="majorBidi" w:hAnsiTheme="majorBidi" w:cstheme="majorBidi"/>
        </w:rPr>
        <w:t>r</w:t>
      </w:r>
      <w:r w:rsidR="00773293" w:rsidRPr="001F2624">
        <w:rPr>
          <w:rFonts w:asciiTheme="majorBidi" w:hAnsiTheme="majorBidi" w:cstheme="majorBidi"/>
        </w:rPr>
        <w:t xml:space="preserve">egulation </w:t>
      </w:r>
      <w:r w:rsidR="00773293">
        <w:rPr>
          <w:rFonts w:asciiTheme="majorBidi" w:hAnsiTheme="majorBidi" w:cstheme="majorBidi"/>
        </w:rPr>
        <w:t>in</w:t>
      </w:r>
      <w:r w:rsidR="00773293" w:rsidRPr="001F2624">
        <w:rPr>
          <w:rFonts w:asciiTheme="majorBidi" w:hAnsiTheme="majorBidi" w:cstheme="majorBidi"/>
        </w:rPr>
        <w:t xml:space="preserve"> Listening Comprehension, Transfer</w:t>
      </w:r>
    </w:p>
    <w:p w14:paraId="1C50DA30" w14:textId="77777777" w:rsidR="00A910F2" w:rsidRPr="001F2624" w:rsidRDefault="00773293" w:rsidP="0019078C">
      <w:pPr>
        <w:spacing w:after="120" w:line="240" w:lineRule="auto"/>
        <w:jc w:val="both"/>
        <w:rPr>
          <w:rFonts w:asciiTheme="majorBidi" w:hAnsiTheme="majorBidi" w:cstheme="majorBidi"/>
          <w:b/>
          <w:bCs/>
        </w:rPr>
      </w:pPr>
      <w:r>
        <w:rPr>
          <w:rFonts w:asciiTheme="majorBidi" w:hAnsiTheme="majorBidi" w:cstheme="majorBidi"/>
          <w:b/>
          <w:bCs/>
        </w:rPr>
        <w:t xml:space="preserve">1. </w:t>
      </w:r>
      <w:r w:rsidR="004B77EC" w:rsidRPr="001F2624">
        <w:rPr>
          <w:rFonts w:asciiTheme="majorBidi" w:hAnsiTheme="majorBidi" w:cstheme="majorBidi"/>
          <w:b/>
          <w:bCs/>
        </w:rPr>
        <w:t>Introduction</w:t>
      </w:r>
    </w:p>
    <w:p w14:paraId="64CF1FD4" w14:textId="77777777" w:rsidR="00EE4A21" w:rsidRDefault="00A910F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The role of English as one of the world’s international languages results in efforts to find more effective ways of teaching it as</w:t>
      </w:r>
      <w:r w:rsidR="009C69A0" w:rsidRPr="001F2624">
        <w:rPr>
          <w:rFonts w:asciiTheme="majorBidi" w:hAnsiTheme="majorBidi" w:cstheme="majorBidi"/>
        </w:rPr>
        <w:t xml:space="preserve"> a second language. The role of</w:t>
      </w:r>
      <w:r w:rsidR="00843311" w:rsidRPr="001F2624">
        <w:rPr>
          <w:rFonts w:asciiTheme="majorBidi" w:hAnsiTheme="majorBidi" w:cstheme="majorBidi"/>
        </w:rPr>
        <w:t xml:space="preserve"> listening comprehension</w:t>
      </w:r>
      <w:r w:rsidR="009C69A0" w:rsidRPr="001F2624">
        <w:rPr>
          <w:rFonts w:asciiTheme="majorBidi" w:hAnsiTheme="majorBidi" w:cstheme="majorBidi"/>
        </w:rPr>
        <w:t xml:space="preserve"> </w:t>
      </w:r>
      <w:r w:rsidR="00843311" w:rsidRPr="001F2624">
        <w:rPr>
          <w:rFonts w:asciiTheme="majorBidi" w:hAnsiTheme="majorBidi" w:cstheme="majorBidi"/>
        </w:rPr>
        <w:t>(</w:t>
      </w:r>
      <w:r w:rsidR="009C69A0" w:rsidRPr="001F2624">
        <w:rPr>
          <w:rFonts w:asciiTheme="majorBidi" w:hAnsiTheme="majorBidi" w:cstheme="majorBidi"/>
        </w:rPr>
        <w:t>L.C.</w:t>
      </w:r>
      <w:r w:rsidR="00843311" w:rsidRPr="001F2624">
        <w:rPr>
          <w:rFonts w:asciiTheme="majorBidi" w:hAnsiTheme="majorBidi" w:cstheme="majorBidi"/>
        </w:rPr>
        <w:t>)</w:t>
      </w:r>
      <w:r w:rsidRPr="001F2624">
        <w:rPr>
          <w:rFonts w:asciiTheme="majorBidi" w:hAnsiTheme="majorBidi" w:cstheme="majorBidi"/>
        </w:rPr>
        <w:t xml:space="preserve"> in second language learning was taken for granted for a long time, little research was done and it was given little pedagogical attention. </w:t>
      </w:r>
      <w:r w:rsidR="009C69A0" w:rsidRPr="001F2624">
        <w:rPr>
          <w:rFonts w:asciiTheme="majorBidi" w:hAnsiTheme="majorBidi" w:cstheme="majorBidi"/>
        </w:rPr>
        <w:t xml:space="preserve">L.C. </w:t>
      </w:r>
      <w:r w:rsidRPr="001F2624">
        <w:rPr>
          <w:rFonts w:asciiTheme="majorBidi" w:hAnsiTheme="majorBidi" w:cstheme="majorBidi"/>
        </w:rPr>
        <w:t>was not seen as a specific meth</w:t>
      </w:r>
      <w:r w:rsidR="00CD4AC9" w:rsidRPr="001F2624">
        <w:rPr>
          <w:rFonts w:asciiTheme="majorBidi" w:hAnsiTheme="majorBidi" w:cstheme="majorBidi"/>
        </w:rPr>
        <w:t>odological issue (</w:t>
      </w:r>
      <w:r w:rsidR="00B026CD" w:rsidRPr="001F2624">
        <w:rPr>
          <w:rFonts w:asciiTheme="majorBidi" w:hAnsiTheme="majorBidi" w:cstheme="majorBidi"/>
        </w:rPr>
        <w:t>Goh, 2010; Graham, Santos and Vanderplank, 2011</w:t>
      </w:r>
      <w:r w:rsidR="009B433F" w:rsidRPr="001F2624">
        <w:rPr>
          <w:rFonts w:asciiTheme="majorBidi" w:hAnsiTheme="majorBidi" w:cstheme="majorBidi"/>
        </w:rPr>
        <w:t>). Teaching</w:t>
      </w:r>
      <w:r w:rsidR="009C69A0" w:rsidRPr="001F2624">
        <w:rPr>
          <w:rFonts w:asciiTheme="majorBidi" w:hAnsiTheme="majorBidi" w:cstheme="majorBidi"/>
        </w:rPr>
        <w:t xml:space="preserve"> L.C.</w:t>
      </w:r>
      <w:r w:rsidR="00BC5E33" w:rsidRPr="001F2624">
        <w:rPr>
          <w:rFonts w:asciiTheme="majorBidi" w:hAnsiTheme="majorBidi" w:cstheme="majorBidi"/>
        </w:rPr>
        <w:t xml:space="preserve"> to second language </w:t>
      </w:r>
      <w:r w:rsidR="00954801" w:rsidRPr="001F2624">
        <w:rPr>
          <w:rFonts w:asciiTheme="majorBidi" w:hAnsiTheme="majorBidi" w:cstheme="majorBidi"/>
        </w:rPr>
        <w:t>learners has changed</w:t>
      </w:r>
      <w:r w:rsidR="00EE4A21">
        <w:rPr>
          <w:rFonts w:asciiTheme="majorBidi" w:hAnsiTheme="majorBidi" w:cstheme="majorBidi"/>
        </w:rPr>
        <w:t xml:space="preserve"> </w:t>
      </w:r>
      <w:r w:rsidR="00954801" w:rsidRPr="001F2624">
        <w:rPr>
          <w:rFonts w:asciiTheme="majorBidi" w:hAnsiTheme="majorBidi" w:cstheme="majorBidi"/>
        </w:rPr>
        <w:t>considerably over the last few decades, yet learners still st</w:t>
      </w:r>
      <w:r w:rsidR="00B17D47" w:rsidRPr="001F2624">
        <w:rPr>
          <w:rFonts w:asciiTheme="majorBidi" w:hAnsiTheme="majorBidi" w:cstheme="majorBidi"/>
        </w:rPr>
        <w:t>ruggle with it</w:t>
      </w:r>
      <w:r w:rsidR="00954801" w:rsidRPr="001F2624">
        <w:rPr>
          <w:rFonts w:asciiTheme="majorBidi" w:hAnsiTheme="majorBidi" w:cstheme="majorBidi"/>
        </w:rPr>
        <w:t>. L2 learners continue to face challenges inside and outside the classroom as they</w:t>
      </w:r>
      <w:r w:rsidR="001F2624" w:rsidRPr="001F2624">
        <w:rPr>
          <w:rFonts w:asciiTheme="majorBidi" w:hAnsiTheme="majorBidi" w:cstheme="majorBidi"/>
        </w:rPr>
        <w:t xml:space="preserve"> </w:t>
      </w:r>
      <w:r w:rsidR="00954801" w:rsidRPr="001F2624">
        <w:rPr>
          <w:rFonts w:asciiTheme="majorBidi" w:hAnsiTheme="majorBidi" w:cstheme="majorBidi"/>
        </w:rPr>
        <w:t xml:space="preserve">try to improve their </w:t>
      </w:r>
      <w:r w:rsidR="009C69A0" w:rsidRPr="001F2624">
        <w:rPr>
          <w:rFonts w:asciiTheme="majorBidi" w:hAnsiTheme="majorBidi" w:cstheme="majorBidi"/>
        </w:rPr>
        <w:t xml:space="preserve">L.C. </w:t>
      </w:r>
      <w:r w:rsidR="00954801" w:rsidRPr="001F2624">
        <w:rPr>
          <w:rFonts w:asciiTheme="majorBidi" w:hAnsiTheme="majorBidi" w:cstheme="majorBidi"/>
        </w:rPr>
        <w:t>abilities (Vandergrift &amp;</w:t>
      </w:r>
      <w:r w:rsidR="00146F6B">
        <w:rPr>
          <w:rFonts w:asciiTheme="majorBidi" w:hAnsiTheme="majorBidi" w:cstheme="majorBidi"/>
        </w:rPr>
        <w:t xml:space="preserve"> </w:t>
      </w:r>
      <w:r w:rsidR="00954801" w:rsidRPr="001F2624">
        <w:rPr>
          <w:rFonts w:asciiTheme="majorBidi" w:hAnsiTheme="majorBidi" w:cstheme="majorBidi"/>
        </w:rPr>
        <w:t>Goh, 2012).</w:t>
      </w:r>
    </w:p>
    <w:p w14:paraId="7904F149" w14:textId="77777777" w:rsidR="002A428B" w:rsidRPr="001F2624" w:rsidRDefault="00954801"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Listening is a highly complex skill, involving both linguistic and non-linguistic</w:t>
      </w:r>
      <w:r w:rsidR="00EE4A21">
        <w:rPr>
          <w:rFonts w:asciiTheme="majorBidi" w:hAnsiTheme="majorBidi" w:cstheme="majorBidi"/>
        </w:rPr>
        <w:t xml:space="preserve"> </w:t>
      </w:r>
      <w:r w:rsidRPr="001F2624">
        <w:rPr>
          <w:rFonts w:asciiTheme="majorBidi" w:hAnsiTheme="majorBidi" w:cstheme="majorBidi"/>
        </w:rPr>
        <w:t>knowledge. Linguistic knowledge includes phonology, vocabulary, syntax, semantics,</w:t>
      </w:r>
      <w:r w:rsidR="00EE4A21">
        <w:rPr>
          <w:rFonts w:asciiTheme="majorBidi" w:hAnsiTheme="majorBidi" w:cstheme="majorBidi"/>
        </w:rPr>
        <w:t xml:space="preserve"> </w:t>
      </w:r>
      <w:r w:rsidRPr="001F2624">
        <w:rPr>
          <w:rFonts w:asciiTheme="majorBidi" w:hAnsiTheme="majorBidi" w:cstheme="majorBidi"/>
        </w:rPr>
        <w:t>discour</w:t>
      </w:r>
      <w:r w:rsidR="002A428B" w:rsidRPr="001F2624">
        <w:rPr>
          <w:rFonts w:asciiTheme="majorBidi" w:hAnsiTheme="majorBidi" w:cstheme="majorBidi"/>
        </w:rPr>
        <w:t xml:space="preserve">se and pragmatics </w:t>
      </w:r>
      <w:r w:rsidR="002A428B" w:rsidRPr="001F2624">
        <w:rPr>
          <w:rFonts w:asciiTheme="majorBidi" w:hAnsiTheme="majorBidi" w:cstheme="majorBidi"/>
        </w:rPr>
        <w:lastRenderedPageBreak/>
        <w:t>(Buck, 2001</w:t>
      </w:r>
      <w:r w:rsidR="009B433F" w:rsidRPr="001F2624">
        <w:rPr>
          <w:rFonts w:asciiTheme="majorBidi" w:hAnsiTheme="majorBidi" w:cstheme="majorBidi"/>
        </w:rPr>
        <w:t>). Further</w:t>
      </w:r>
      <w:r w:rsidRPr="001F2624">
        <w:rPr>
          <w:rFonts w:asciiTheme="majorBidi" w:hAnsiTheme="majorBidi" w:cstheme="majorBidi"/>
        </w:rPr>
        <w:t xml:space="preserve"> complexity with regard to listening arises from the way in which the type of</w:t>
      </w:r>
      <w:r w:rsidR="003F01E1">
        <w:rPr>
          <w:rFonts w:asciiTheme="majorBidi" w:hAnsiTheme="majorBidi" w:cstheme="majorBidi"/>
        </w:rPr>
        <w:t xml:space="preserve"> </w:t>
      </w:r>
      <w:r w:rsidRPr="001F2624">
        <w:rPr>
          <w:rFonts w:asciiTheme="majorBidi" w:hAnsiTheme="majorBidi" w:cstheme="majorBidi"/>
        </w:rPr>
        <w:t xml:space="preserve">knowledge outlined above </w:t>
      </w:r>
      <w:r w:rsidR="00466FE1" w:rsidRPr="001F2624">
        <w:rPr>
          <w:rFonts w:asciiTheme="majorBidi" w:hAnsiTheme="majorBidi" w:cstheme="majorBidi"/>
        </w:rPr>
        <w:t>is applied to the incoming aural input</w:t>
      </w:r>
      <w:r w:rsidRPr="001F2624">
        <w:rPr>
          <w:rFonts w:asciiTheme="majorBidi" w:hAnsiTheme="majorBidi" w:cstheme="majorBidi"/>
        </w:rPr>
        <w:t>. Indeed, the processing of</w:t>
      </w:r>
      <w:r w:rsidR="003F01E1">
        <w:rPr>
          <w:rFonts w:asciiTheme="majorBidi" w:hAnsiTheme="majorBidi" w:cstheme="majorBidi"/>
        </w:rPr>
        <w:t xml:space="preserve"> </w:t>
      </w:r>
      <w:r w:rsidRPr="001F2624">
        <w:rPr>
          <w:rFonts w:asciiTheme="majorBidi" w:hAnsiTheme="majorBidi" w:cstheme="majorBidi"/>
        </w:rPr>
        <w:t>different types of knowledge does not occur in a fixed linear way. Instead, various types</w:t>
      </w:r>
      <w:r w:rsidR="003F01E1">
        <w:rPr>
          <w:rFonts w:asciiTheme="majorBidi" w:hAnsiTheme="majorBidi" w:cstheme="majorBidi"/>
        </w:rPr>
        <w:t xml:space="preserve"> </w:t>
      </w:r>
      <w:r w:rsidRPr="001F2624">
        <w:rPr>
          <w:rFonts w:asciiTheme="majorBidi" w:hAnsiTheme="majorBidi" w:cstheme="majorBidi"/>
        </w:rPr>
        <w:t>of processing can occur simultaneously, or at any c</w:t>
      </w:r>
      <w:r w:rsidR="0025137D" w:rsidRPr="001F2624">
        <w:rPr>
          <w:rFonts w:asciiTheme="majorBidi" w:hAnsiTheme="majorBidi" w:cstheme="majorBidi"/>
        </w:rPr>
        <w:t xml:space="preserve">onvenient sequence. </w:t>
      </w:r>
      <w:r w:rsidRPr="001F2624">
        <w:rPr>
          <w:rFonts w:asciiTheme="majorBidi" w:hAnsiTheme="majorBidi" w:cstheme="majorBidi"/>
        </w:rPr>
        <w:t xml:space="preserve">Thus, for instance, syntactic knowledge might be applied to </w:t>
      </w:r>
      <w:r w:rsidR="00BC5E33" w:rsidRPr="001F2624">
        <w:rPr>
          <w:rFonts w:asciiTheme="majorBidi" w:hAnsiTheme="majorBidi" w:cstheme="majorBidi"/>
        </w:rPr>
        <w:t>recognize</w:t>
      </w:r>
      <w:r w:rsidRPr="001F2624">
        <w:rPr>
          <w:rFonts w:asciiTheme="majorBidi" w:hAnsiTheme="majorBidi" w:cstheme="majorBidi"/>
        </w:rPr>
        <w:t xml:space="preserve"> words, or</w:t>
      </w:r>
      <w:r w:rsidR="003F01E1">
        <w:rPr>
          <w:rFonts w:asciiTheme="majorBidi" w:hAnsiTheme="majorBidi" w:cstheme="majorBidi"/>
        </w:rPr>
        <w:t xml:space="preserve"> </w:t>
      </w:r>
      <w:r w:rsidRPr="001F2624">
        <w:rPr>
          <w:rFonts w:asciiTheme="majorBidi" w:hAnsiTheme="majorBidi" w:cstheme="majorBidi"/>
        </w:rPr>
        <w:t>knowledge of the context might be used to i</w:t>
      </w:r>
      <w:r w:rsidR="0025137D" w:rsidRPr="001F2624">
        <w:rPr>
          <w:rFonts w:asciiTheme="majorBidi" w:hAnsiTheme="majorBidi" w:cstheme="majorBidi"/>
        </w:rPr>
        <w:t>nterpret the meaning (Vandergrift &amp; Goh, 2012</w:t>
      </w:r>
      <w:r w:rsidRPr="001F2624">
        <w:rPr>
          <w:rFonts w:asciiTheme="majorBidi" w:hAnsiTheme="majorBidi" w:cstheme="majorBidi"/>
        </w:rPr>
        <w:t xml:space="preserve">). </w:t>
      </w:r>
    </w:p>
    <w:p w14:paraId="4DA98597" w14:textId="77777777" w:rsidR="002A428B" w:rsidRPr="001F2624" w:rsidRDefault="00FB7E1C"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In</w:t>
      </w:r>
      <w:r w:rsidR="00FC30B1" w:rsidRPr="001F2624">
        <w:rPr>
          <w:rFonts w:asciiTheme="majorBidi" w:hAnsiTheme="majorBidi" w:cstheme="majorBidi"/>
        </w:rPr>
        <w:t xml:space="preserve"> the past 50 years, </w:t>
      </w:r>
      <w:r w:rsidR="009C69A0" w:rsidRPr="001F2624">
        <w:rPr>
          <w:rFonts w:asciiTheme="majorBidi" w:hAnsiTheme="majorBidi" w:cstheme="majorBidi"/>
        </w:rPr>
        <w:t xml:space="preserve">L.C. </w:t>
      </w:r>
      <w:r w:rsidR="00FC30B1" w:rsidRPr="001F2624">
        <w:rPr>
          <w:rFonts w:asciiTheme="majorBidi" w:hAnsiTheme="majorBidi" w:cstheme="majorBidi"/>
        </w:rPr>
        <w:t xml:space="preserve">methodologies have gone through extensive change, moving away from text-based orientation toward a more learner-oriented outlook (Flowerdew &amp; Miller, 2005; Vandergrift &amp; Goh, 2012). This has helped </w:t>
      </w:r>
      <w:r w:rsidR="009C69A0" w:rsidRPr="001F2624">
        <w:rPr>
          <w:rFonts w:asciiTheme="majorBidi" w:hAnsiTheme="majorBidi" w:cstheme="majorBidi"/>
        </w:rPr>
        <w:t xml:space="preserve">L.C. </w:t>
      </w:r>
      <w:r w:rsidR="00FC30B1" w:rsidRPr="001F2624">
        <w:rPr>
          <w:rFonts w:asciiTheme="majorBidi" w:hAnsiTheme="majorBidi" w:cstheme="majorBidi"/>
        </w:rPr>
        <w:t>instruction to move past repetitive drills to more communicative approaches an example of which is task-based language teaching</w:t>
      </w:r>
      <w:r w:rsidR="000A5787" w:rsidRPr="001F2624">
        <w:rPr>
          <w:rFonts w:asciiTheme="majorBidi" w:hAnsiTheme="majorBidi" w:cstheme="majorBidi"/>
        </w:rPr>
        <w:t xml:space="preserve"> (TBLT)</w:t>
      </w:r>
      <w:r w:rsidR="00FC30B1" w:rsidRPr="001F2624">
        <w:rPr>
          <w:rFonts w:asciiTheme="majorBidi" w:hAnsiTheme="majorBidi" w:cstheme="majorBidi"/>
        </w:rPr>
        <w:t>.</w:t>
      </w:r>
      <w:r w:rsidR="000A5787" w:rsidRPr="001F2624">
        <w:rPr>
          <w:rFonts w:asciiTheme="majorBidi" w:hAnsiTheme="majorBidi" w:cstheme="majorBidi"/>
        </w:rPr>
        <w:t xml:space="preserve"> As opposed to bit by bit teaching the concept in product-based approaches, TBLT pedagogy is defined in a three-phase pedagogical sequence consisting of pre-task phase</w:t>
      </w:r>
      <w:r w:rsidR="00466FE1" w:rsidRPr="001F2624">
        <w:rPr>
          <w:rFonts w:asciiTheme="majorBidi" w:hAnsiTheme="majorBidi" w:cstheme="majorBidi"/>
        </w:rPr>
        <w:t>,</w:t>
      </w:r>
      <w:r w:rsidR="000A5787" w:rsidRPr="001F2624">
        <w:rPr>
          <w:rFonts w:asciiTheme="majorBidi" w:hAnsiTheme="majorBidi" w:cstheme="majorBidi"/>
        </w:rPr>
        <w:t xml:space="preserve"> that presents the nature and purpose of the activity, on-task phase</w:t>
      </w:r>
      <w:r w:rsidR="00466FE1" w:rsidRPr="001F2624">
        <w:rPr>
          <w:rFonts w:asciiTheme="majorBidi" w:hAnsiTheme="majorBidi" w:cstheme="majorBidi"/>
        </w:rPr>
        <w:t>,</w:t>
      </w:r>
      <w:r w:rsidR="000A5787" w:rsidRPr="001F2624">
        <w:rPr>
          <w:rFonts w:asciiTheme="majorBidi" w:hAnsiTheme="majorBidi" w:cstheme="majorBidi"/>
        </w:rPr>
        <w:t xml:space="preserve"> when learners engage in the task and the instructor checks the activity and supports the effort and clarifies the process</w:t>
      </w:r>
      <w:r w:rsidR="00466FE1" w:rsidRPr="001F2624">
        <w:rPr>
          <w:rFonts w:asciiTheme="majorBidi" w:hAnsiTheme="majorBidi" w:cstheme="majorBidi"/>
        </w:rPr>
        <w:t>,</w:t>
      </w:r>
      <w:r w:rsidR="000A5787" w:rsidRPr="001F2624">
        <w:rPr>
          <w:rFonts w:asciiTheme="majorBidi" w:hAnsiTheme="majorBidi" w:cstheme="majorBidi"/>
        </w:rPr>
        <w:t xml:space="preserve"> and post-task phase</w:t>
      </w:r>
      <w:r w:rsidR="00466FE1" w:rsidRPr="001F2624">
        <w:rPr>
          <w:rFonts w:asciiTheme="majorBidi" w:hAnsiTheme="majorBidi" w:cstheme="majorBidi"/>
        </w:rPr>
        <w:t>,</w:t>
      </w:r>
      <w:r w:rsidR="000A5787" w:rsidRPr="001F2624">
        <w:rPr>
          <w:rFonts w:asciiTheme="majorBidi" w:hAnsiTheme="majorBidi" w:cstheme="majorBidi"/>
        </w:rPr>
        <w:t xml:space="preserve"> when the on-task phase can be evaluated and reflected upon (Bygate, 2016). After all, a key rationale for TBLT is the premise that acquisition happens when learner encounters a novel situation or comes up with a need and thrives to be strategic at the precise moment (Long, 1981</w:t>
      </w:r>
      <w:r w:rsidR="004260EA">
        <w:rPr>
          <w:rFonts w:asciiTheme="majorBidi" w:hAnsiTheme="majorBidi" w:cstheme="majorBidi"/>
        </w:rPr>
        <w:t>, as cited in Ellis, 2003</w:t>
      </w:r>
      <w:r w:rsidR="000A5787" w:rsidRPr="001F2624">
        <w:rPr>
          <w:rFonts w:asciiTheme="majorBidi" w:hAnsiTheme="majorBidi" w:cstheme="majorBidi"/>
        </w:rPr>
        <w:t>) and this makes TBLT an ideal approach for mediating learners through stages of becoming more and more strategic.</w:t>
      </w:r>
    </w:p>
    <w:p w14:paraId="7B76C64C" w14:textId="77777777" w:rsidR="007E4C4F" w:rsidRPr="001F2624" w:rsidRDefault="009C69A0"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Listening comprehension </w:t>
      </w:r>
      <w:r w:rsidR="00BC5E33" w:rsidRPr="001F2624">
        <w:rPr>
          <w:rFonts w:asciiTheme="majorBidi" w:hAnsiTheme="majorBidi" w:cstheme="majorBidi"/>
        </w:rPr>
        <w:t>strategy</w:t>
      </w:r>
      <w:r w:rsidR="00C75F1E" w:rsidRPr="001F2624">
        <w:rPr>
          <w:rFonts w:asciiTheme="majorBidi" w:hAnsiTheme="majorBidi" w:cstheme="majorBidi"/>
        </w:rPr>
        <w:t xml:space="preserve"> research has proved the role of strategies</w:t>
      </w:r>
      <w:r w:rsidR="00BC5E33" w:rsidRPr="001F2624">
        <w:rPr>
          <w:rFonts w:asciiTheme="majorBidi" w:hAnsiTheme="majorBidi" w:cstheme="majorBidi"/>
        </w:rPr>
        <w:t xml:space="preserve"> in</w:t>
      </w:r>
      <w:r w:rsidR="00C75F1E" w:rsidRPr="001F2624">
        <w:rPr>
          <w:rFonts w:asciiTheme="majorBidi" w:hAnsiTheme="majorBidi" w:cstheme="majorBidi"/>
        </w:rPr>
        <w:t xml:space="preserve"> second language learning (O’Mall</w:t>
      </w:r>
      <w:r w:rsidR="000A0FD7" w:rsidRPr="001F2624">
        <w:rPr>
          <w:rFonts w:asciiTheme="majorBidi" w:hAnsiTheme="majorBidi" w:cstheme="majorBidi"/>
        </w:rPr>
        <w:t>ey &amp;</w:t>
      </w:r>
      <w:r w:rsidR="003F01E1">
        <w:rPr>
          <w:rFonts w:asciiTheme="majorBidi" w:hAnsiTheme="majorBidi" w:cstheme="majorBidi"/>
        </w:rPr>
        <w:t xml:space="preserve"> </w:t>
      </w:r>
      <w:r w:rsidR="000A0FD7" w:rsidRPr="001F2624">
        <w:rPr>
          <w:rFonts w:asciiTheme="majorBidi" w:hAnsiTheme="majorBidi" w:cstheme="majorBidi"/>
        </w:rPr>
        <w:t>Chamot, 1990; Oxford,</w:t>
      </w:r>
      <w:r w:rsidR="00C75F1E" w:rsidRPr="001F2624">
        <w:rPr>
          <w:rFonts w:asciiTheme="majorBidi" w:hAnsiTheme="majorBidi" w:cstheme="majorBidi"/>
        </w:rPr>
        <w:t xml:space="preserve"> 2017</w:t>
      </w:r>
      <w:r w:rsidR="000A0FD7" w:rsidRPr="001F2624">
        <w:rPr>
          <w:rFonts w:asciiTheme="majorBidi" w:hAnsiTheme="majorBidi" w:cstheme="majorBidi"/>
        </w:rPr>
        <w:t xml:space="preserve">; </w:t>
      </w:r>
      <w:r w:rsidR="00C75F1E" w:rsidRPr="001F2624">
        <w:rPr>
          <w:rFonts w:asciiTheme="majorBidi" w:hAnsiTheme="majorBidi" w:cstheme="majorBidi"/>
        </w:rPr>
        <w:t>Vandergrift</w:t>
      </w:r>
      <w:r w:rsidR="00BC5E33" w:rsidRPr="001F2624">
        <w:rPr>
          <w:rFonts w:asciiTheme="majorBidi" w:hAnsiTheme="majorBidi" w:cstheme="majorBidi"/>
        </w:rPr>
        <w:t>, 2003</w:t>
      </w:r>
      <w:r w:rsidR="00EB7A91" w:rsidRPr="001F2624">
        <w:rPr>
          <w:rFonts w:asciiTheme="majorBidi" w:hAnsiTheme="majorBidi" w:cstheme="majorBidi"/>
        </w:rPr>
        <w:t xml:space="preserve">) </w:t>
      </w:r>
      <w:r w:rsidR="001D7E39" w:rsidRPr="001F2624">
        <w:rPr>
          <w:rFonts w:asciiTheme="majorBidi" w:hAnsiTheme="majorBidi" w:cstheme="majorBidi"/>
        </w:rPr>
        <w:t xml:space="preserve">and the strategy instruction </w:t>
      </w:r>
      <w:r w:rsidR="007E4C4F" w:rsidRPr="001F2624">
        <w:rPr>
          <w:rFonts w:asciiTheme="majorBidi" w:hAnsiTheme="majorBidi" w:cstheme="majorBidi"/>
        </w:rPr>
        <w:t>research</w:t>
      </w:r>
      <w:r w:rsidR="001D7E39" w:rsidRPr="001F2624">
        <w:rPr>
          <w:rFonts w:asciiTheme="majorBidi" w:hAnsiTheme="majorBidi" w:cstheme="majorBidi"/>
        </w:rPr>
        <w:t xml:space="preserve"> has been mainly concerned with raising learners’ awareness to the value</w:t>
      </w:r>
      <w:r w:rsidR="00466FE1" w:rsidRPr="001F2624">
        <w:rPr>
          <w:rFonts w:asciiTheme="majorBidi" w:hAnsiTheme="majorBidi" w:cstheme="majorBidi"/>
        </w:rPr>
        <w:t xml:space="preserve"> of knowing what</w:t>
      </w:r>
      <w:r w:rsidR="003F01E1">
        <w:rPr>
          <w:rFonts w:asciiTheme="majorBidi" w:hAnsiTheme="majorBidi" w:cstheme="majorBidi"/>
        </w:rPr>
        <w:t xml:space="preserve"> strategies</w:t>
      </w:r>
      <w:r w:rsidR="001D7E39" w:rsidRPr="001F2624">
        <w:rPr>
          <w:rFonts w:asciiTheme="majorBidi" w:hAnsiTheme="majorBidi" w:cstheme="majorBidi"/>
        </w:rPr>
        <w:t xml:space="preserve"> </w:t>
      </w:r>
      <w:r w:rsidR="00466FE1" w:rsidRPr="001F2624">
        <w:rPr>
          <w:rFonts w:asciiTheme="majorBidi" w:hAnsiTheme="majorBidi" w:cstheme="majorBidi"/>
        </w:rPr>
        <w:t>to apply</w:t>
      </w:r>
      <w:r w:rsidR="00CC7675" w:rsidRPr="001F2624">
        <w:rPr>
          <w:rFonts w:asciiTheme="majorBidi" w:hAnsiTheme="majorBidi" w:cstheme="majorBidi"/>
        </w:rPr>
        <w:t xml:space="preserve"> in a specific context</w:t>
      </w:r>
      <w:r w:rsidR="001D7E39" w:rsidRPr="001F2624">
        <w:rPr>
          <w:rFonts w:asciiTheme="majorBidi" w:hAnsiTheme="majorBidi" w:cstheme="majorBidi"/>
        </w:rPr>
        <w:t xml:space="preserve"> (Chou, 2017).</w:t>
      </w:r>
      <w:r w:rsidR="00FB7E1C" w:rsidRPr="001F2624">
        <w:rPr>
          <w:rFonts w:asciiTheme="majorBidi" w:hAnsiTheme="majorBidi" w:cstheme="majorBidi"/>
        </w:rPr>
        <w:t xml:space="preserve"> The body of research on strategy instruction indicates that studies have either used explicit instruction approach (e.g. Graham &amp;</w:t>
      </w:r>
      <w:r w:rsidR="00220CBF">
        <w:rPr>
          <w:rFonts w:asciiTheme="majorBidi" w:hAnsiTheme="majorBidi" w:cstheme="majorBidi"/>
        </w:rPr>
        <w:t xml:space="preserve"> </w:t>
      </w:r>
      <w:r w:rsidR="00FB7E1C" w:rsidRPr="001F2624">
        <w:rPr>
          <w:rFonts w:asciiTheme="majorBidi" w:hAnsiTheme="majorBidi" w:cstheme="majorBidi"/>
        </w:rPr>
        <w:t>Macaro, 2008) or embe</w:t>
      </w:r>
      <w:r w:rsidR="00C244BA" w:rsidRPr="001F2624">
        <w:rPr>
          <w:rFonts w:asciiTheme="majorBidi" w:hAnsiTheme="majorBidi" w:cstheme="majorBidi"/>
        </w:rPr>
        <w:t>dded instruction approach (e.g.</w:t>
      </w:r>
      <w:r w:rsidR="00CC7675" w:rsidRPr="001F2624">
        <w:rPr>
          <w:rFonts w:asciiTheme="majorBidi" w:hAnsiTheme="majorBidi" w:cstheme="majorBidi"/>
        </w:rPr>
        <w:t xml:space="preserve"> Vandergrift, 2003</w:t>
      </w:r>
      <w:r w:rsidR="00FB7E1C" w:rsidRPr="001F2624">
        <w:rPr>
          <w:rFonts w:asciiTheme="majorBidi" w:hAnsiTheme="majorBidi" w:cstheme="majorBidi"/>
        </w:rPr>
        <w:t>)</w:t>
      </w:r>
      <w:r w:rsidR="007E4C4F" w:rsidRPr="001F2624">
        <w:rPr>
          <w:rFonts w:asciiTheme="majorBidi" w:hAnsiTheme="majorBidi" w:cstheme="majorBidi"/>
        </w:rPr>
        <w:t>, while</w:t>
      </w:r>
      <w:r w:rsidR="00CC7675" w:rsidRPr="001F2624">
        <w:rPr>
          <w:rFonts w:asciiTheme="majorBidi" w:hAnsiTheme="majorBidi" w:cstheme="majorBidi"/>
        </w:rPr>
        <w:t xml:space="preserve"> very few have </w:t>
      </w:r>
      <w:r w:rsidR="00466FE1" w:rsidRPr="001F2624">
        <w:rPr>
          <w:rFonts w:asciiTheme="majorBidi" w:hAnsiTheme="majorBidi" w:cstheme="majorBidi"/>
        </w:rPr>
        <w:t>investigated</w:t>
      </w:r>
      <w:r w:rsidR="00CC7675" w:rsidRPr="001F2624">
        <w:rPr>
          <w:rFonts w:asciiTheme="majorBidi" w:hAnsiTheme="majorBidi" w:cstheme="majorBidi"/>
        </w:rPr>
        <w:t xml:space="preserve"> the role of TBLT in strategy instruction and to the best of researchers’ knowledge, non</w:t>
      </w:r>
      <w:r w:rsidR="007E4C4F" w:rsidRPr="001F2624">
        <w:rPr>
          <w:rFonts w:asciiTheme="majorBidi" w:hAnsiTheme="majorBidi" w:cstheme="majorBidi"/>
        </w:rPr>
        <w:t>e</w:t>
      </w:r>
      <w:r w:rsidR="00CC7675" w:rsidRPr="001F2624">
        <w:rPr>
          <w:rFonts w:asciiTheme="majorBidi" w:hAnsiTheme="majorBidi" w:cstheme="majorBidi"/>
        </w:rPr>
        <w:t xml:space="preserve"> have compared the efficacy of two strategy instruction</w:t>
      </w:r>
      <w:r w:rsidR="0050083E" w:rsidRPr="001F2624">
        <w:rPr>
          <w:rFonts w:asciiTheme="majorBidi" w:hAnsiTheme="majorBidi" w:cstheme="majorBidi"/>
        </w:rPr>
        <w:t xml:space="preserve"> models.</w:t>
      </w:r>
      <w:r w:rsidR="00220CBF">
        <w:rPr>
          <w:rFonts w:asciiTheme="majorBidi" w:hAnsiTheme="majorBidi" w:cstheme="majorBidi"/>
        </w:rPr>
        <w:t xml:space="preserve"> </w:t>
      </w:r>
      <w:r w:rsidR="007E4C4F" w:rsidRPr="001F2624">
        <w:rPr>
          <w:rFonts w:asciiTheme="majorBidi" w:hAnsiTheme="majorBidi" w:cstheme="majorBidi"/>
        </w:rPr>
        <w:t>M</w:t>
      </w:r>
      <w:r w:rsidR="00CC7675" w:rsidRPr="001F2624">
        <w:rPr>
          <w:rFonts w:asciiTheme="majorBidi" w:hAnsiTheme="majorBidi" w:cstheme="majorBidi"/>
        </w:rPr>
        <w:t>oreover,</w:t>
      </w:r>
      <w:r w:rsidR="00FB7E1C" w:rsidRPr="001F2624">
        <w:rPr>
          <w:rFonts w:asciiTheme="majorBidi" w:hAnsiTheme="majorBidi" w:cstheme="majorBidi"/>
        </w:rPr>
        <w:t xml:space="preserve"> repor</w:t>
      </w:r>
      <w:r w:rsidR="007E4C4F" w:rsidRPr="001F2624">
        <w:rPr>
          <w:rFonts w:asciiTheme="majorBidi" w:hAnsiTheme="majorBidi" w:cstheme="majorBidi"/>
        </w:rPr>
        <w:t>ts on long-term benefits of strategy</w:t>
      </w:r>
      <w:r w:rsidR="00FB7E1C" w:rsidRPr="001F2624">
        <w:rPr>
          <w:rFonts w:asciiTheme="majorBidi" w:hAnsiTheme="majorBidi" w:cstheme="majorBidi"/>
        </w:rPr>
        <w:t xml:space="preserve"> instruction</w:t>
      </w:r>
      <w:r w:rsidR="00466FE1" w:rsidRPr="001F2624">
        <w:rPr>
          <w:rFonts w:asciiTheme="majorBidi" w:hAnsiTheme="majorBidi" w:cstheme="majorBidi"/>
        </w:rPr>
        <w:t xml:space="preserve"> are inconclusive (Cross, 2010). So, more studies need to be conducted to ascertain the role of TBLT in de</w:t>
      </w:r>
      <w:r w:rsidRPr="001F2624">
        <w:rPr>
          <w:rFonts w:asciiTheme="majorBidi" w:hAnsiTheme="majorBidi" w:cstheme="majorBidi"/>
        </w:rPr>
        <w:t>veloping L.C.</w:t>
      </w:r>
      <w:r w:rsidR="00466FE1" w:rsidRPr="001F2624">
        <w:rPr>
          <w:rFonts w:asciiTheme="majorBidi" w:hAnsiTheme="majorBidi" w:cstheme="majorBidi"/>
        </w:rPr>
        <w:t xml:space="preserve"> strategies and the durability of such gain. </w:t>
      </w:r>
    </w:p>
    <w:p w14:paraId="16A246A6" w14:textId="77777777" w:rsidR="00DB7FCA" w:rsidRPr="001F2624" w:rsidRDefault="00C23D44"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Metacognitive awareness of listening strategies has been rigorously defined and measured recently by considering five factors including problem solving, planning-evaluation, mental translation, person knowledge, and directed attention (Vandergrift</w:t>
      </w:r>
      <w:r w:rsidR="00115D03" w:rsidRPr="001F2624">
        <w:rPr>
          <w:rFonts w:asciiTheme="majorBidi" w:hAnsiTheme="majorBidi" w:cstheme="majorBidi"/>
        </w:rPr>
        <w:t>, Goh, Mareschal</w:t>
      </w:r>
      <w:r w:rsidR="00220CBF">
        <w:rPr>
          <w:rFonts w:asciiTheme="majorBidi" w:hAnsiTheme="majorBidi" w:cstheme="majorBidi"/>
        </w:rPr>
        <w:t xml:space="preserve"> </w:t>
      </w:r>
      <w:r w:rsidR="00115D03" w:rsidRPr="001F2624">
        <w:rPr>
          <w:rFonts w:asciiTheme="majorBidi" w:hAnsiTheme="majorBidi" w:cstheme="majorBidi"/>
        </w:rPr>
        <w:t>&amp;</w:t>
      </w:r>
      <w:r w:rsidR="00220CBF">
        <w:rPr>
          <w:rFonts w:asciiTheme="majorBidi" w:hAnsiTheme="majorBidi" w:cstheme="majorBidi"/>
        </w:rPr>
        <w:t xml:space="preserve"> </w:t>
      </w:r>
      <w:r w:rsidR="00115D03" w:rsidRPr="001F2624">
        <w:rPr>
          <w:rFonts w:asciiTheme="majorBidi" w:hAnsiTheme="majorBidi" w:cstheme="majorBidi"/>
        </w:rPr>
        <w:t>Tafaghodtari</w:t>
      </w:r>
      <w:r w:rsidRPr="001F2624">
        <w:rPr>
          <w:rFonts w:asciiTheme="majorBidi" w:hAnsiTheme="majorBidi" w:cstheme="majorBidi"/>
        </w:rPr>
        <w:t xml:space="preserve">, 2006). </w:t>
      </w:r>
      <w:r w:rsidR="00045262" w:rsidRPr="001F2624">
        <w:rPr>
          <w:rFonts w:asciiTheme="majorBidi" w:hAnsiTheme="majorBidi" w:cstheme="majorBidi"/>
        </w:rPr>
        <w:t>Metacognitive strategies have been defined as “higher order executive skills that may entail of planning for, monitoring, or evaluating the success of activity” (O’Malley &amp;</w:t>
      </w:r>
      <w:r w:rsidR="00220CBF">
        <w:rPr>
          <w:rFonts w:asciiTheme="majorBidi" w:hAnsiTheme="majorBidi" w:cstheme="majorBidi"/>
        </w:rPr>
        <w:t xml:space="preserve"> </w:t>
      </w:r>
      <w:r w:rsidR="00045262" w:rsidRPr="001F2624">
        <w:rPr>
          <w:rFonts w:asciiTheme="majorBidi" w:hAnsiTheme="majorBidi" w:cstheme="majorBidi"/>
        </w:rPr>
        <w:t>Chamot, 1990, p. 44) by the help of which learners manage, direct, regulate, and guide their learning (Wenden, 1998).</w:t>
      </w:r>
      <w:r w:rsidR="00DE284E" w:rsidRPr="001F2624">
        <w:rPr>
          <w:rFonts w:asciiTheme="majorBidi" w:hAnsiTheme="majorBidi" w:cstheme="majorBidi"/>
        </w:rPr>
        <w:t xml:space="preserve"> Yet, metacognitive in</w:t>
      </w:r>
      <w:r w:rsidR="004654B0" w:rsidRPr="001F2624">
        <w:rPr>
          <w:rFonts w:asciiTheme="majorBidi" w:hAnsiTheme="majorBidi" w:cstheme="majorBidi"/>
        </w:rPr>
        <w:t>structional models building appropriate</w:t>
      </w:r>
      <w:r w:rsidR="00DE284E" w:rsidRPr="001F2624">
        <w:rPr>
          <w:rFonts w:asciiTheme="majorBidi" w:hAnsiTheme="majorBidi" w:cstheme="majorBidi"/>
        </w:rPr>
        <w:t xml:space="preserve"> metacognitive knowledge and </w:t>
      </w:r>
      <w:r w:rsidR="004654B0" w:rsidRPr="001F2624">
        <w:rPr>
          <w:rFonts w:asciiTheme="majorBidi" w:hAnsiTheme="majorBidi" w:cstheme="majorBidi"/>
        </w:rPr>
        <w:t xml:space="preserve">yielding </w:t>
      </w:r>
      <w:r w:rsidR="00DE284E" w:rsidRPr="001F2624">
        <w:rPr>
          <w:rFonts w:asciiTheme="majorBidi" w:hAnsiTheme="majorBidi" w:cstheme="majorBidi"/>
        </w:rPr>
        <w:t>effective use of metacognitive strategies need to be emphasized</w:t>
      </w:r>
      <w:r w:rsidR="004654B0" w:rsidRPr="001F2624">
        <w:rPr>
          <w:rFonts w:asciiTheme="majorBidi" w:hAnsiTheme="majorBidi" w:cstheme="majorBidi"/>
        </w:rPr>
        <w:t>. Thus, the purposes of this study were to 1) ascertain the effect of TBLT on develop</w:t>
      </w:r>
      <w:r w:rsidR="00220CBF">
        <w:rPr>
          <w:rFonts w:asciiTheme="majorBidi" w:hAnsiTheme="majorBidi" w:cstheme="majorBidi"/>
        </w:rPr>
        <w:t>ing metacognitive strategies of</w:t>
      </w:r>
      <w:r w:rsidR="009C69A0" w:rsidRPr="001F2624">
        <w:rPr>
          <w:rFonts w:asciiTheme="majorBidi" w:hAnsiTheme="majorBidi" w:cstheme="majorBidi"/>
        </w:rPr>
        <w:t xml:space="preserve"> L.C.</w:t>
      </w:r>
      <w:r w:rsidR="004654B0" w:rsidRPr="001F2624">
        <w:rPr>
          <w:rFonts w:asciiTheme="majorBidi" w:hAnsiTheme="majorBidi" w:cstheme="majorBidi"/>
        </w:rPr>
        <w:t>, 2) to compare the efficacy of stra</w:t>
      </w:r>
      <w:r w:rsidR="00220CBF">
        <w:rPr>
          <w:rFonts w:asciiTheme="majorBidi" w:hAnsiTheme="majorBidi" w:cstheme="majorBidi"/>
        </w:rPr>
        <w:t>tegy-nonintegrated and strategy-</w:t>
      </w:r>
      <w:r w:rsidR="004654B0" w:rsidRPr="001F2624">
        <w:rPr>
          <w:rFonts w:asciiTheme="majorBidi" w:hAnsiTheme="majorBidi" w:cstheme="majorBidi"/>
        </w:rPr>
        <w:t>embedded task-based models of metacognitive strategy instruction in inducing self-regulation in</w:t>
      </w:r>
      <w:r w:rsidR="009C69A0" w:rsidRPr="001F2624">
        <w:rPr>
          <w:rFonts w:asciiTheme="majorBidi" w:hAnsiTheme="majorBidi" w:cstheme="majorBidi"/>
        </w:rPr>
        <w:t xml:space="preserve"> L.C.</w:t>
      </w:r>
      <w:r w:rsidR="004654B0" w:rsidRPr="001F2624">
        <w:rPr>
          <w:rFonts w:asciiTheme="majorBidi" w:hAnsiTheme="majorBidi" w:cstheme="majorBidi"/>
        </w:rPr>
        <w:t>, and 3) to investigate the models’ efficacy in inducing metacognitive strategy transfer to a more difficult test.</w:t>
      </w:r>
    </w:p>
    <w:p w14:paraId="6A7D1DA7" w14:textId="77777777" w:rsidR="00C17912" w:rsidRPr="001F2624" w:rsidRDefault="00773293" w:rsidP="0019078C">
      <w:pPr>
        <w:autoSpaceDE w:val="0"/>
        <w:autoSpaceDN w:val="0"/>
        <w:adjustRightInd w:val="0"/>
        <w:spacing w:after="120" w:line="240" w:lineRule="auto"/>
        <w:jc w:val="both"/>
        <w:rPr>
          <w:rFonts w:asciiTheme="majorBidi" w:hAnsiTheme="majorBidi" w:cstheme="majorBidi"/>
          <w:b/>
          <w:bCs/>
        </w:rPr>
      </w:pPr>
      <w:r>
        <w:rPr>
          <w:rFonts w:asciiTheme="majorBidi" w:hAnsiTheme="majorBidi" w:cstheme="majorBidi"/>
          <w:b/>
          <w:bCs/>
        </w:rPr>
        <w:t xml:space="preserve">2. </w:t>
      </w:r>
      <w:r w:rsidR="00911D66" w:rsidRPr="001F2624">
        <w:rPr>
          <w:rFonts w:asciiTheme="majorBidi" w:hAnsiTheme="majorBidi" w:cstheme="majorBidi"/>
          <w:b/>
          <w:bCs/>
        </w:rPr>
        <w:t>Literature Review</w:t>
      </w:r>
    </w:p>
    <w:p w14:paraId="5CE77738" w14:textId="77777777" w:rsidR="00A4467C" w:rsidRPr="001F2624" w:rsidRDefault="00773293" w:rsidP="00773293">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 xml:space="preserve">2.1. </w:t>
      </w:r>
      <w:r w:rsidR="00A4467C" w:rsidRPr="001F2624">
        <w:rPr>
          <w:rFonts w:asciiTheme="majorBidi" w:hAnsiTheme="majorBidi" w:cstheme="majorBidi"/>
          <w:i/>
          <w:iCs/>
        </w:rPr>
        <w:t>Task</w:t>
      </w:r>
      <w:r w:rsidRPr="001F2624">
        <w:rPr>
          <w:rFonts w:asciiTheme="majorBidi" w:hAnsiTheme="majorBidi" w:cstheme="majorBidi"/>
          <w:i/>
          <w:iCs/>
        </w:rPr>
        <w:t xml:space="preserve">-Based Teaching </w:t>
      </w:r>
      <w:r>
        <w:rPr>
          <w:rFonts w:asciiTheme="majorBidi" w:hAnsiTheme="majorBidi" w:cstheme="majorBidi"/>
          <w:i/>
          <w:iCs/>
        </w:rPr>
        <w:t>and</w:t>
      </w:r>
      <w:r w:rsidRPr="001F2624">
        <w:rPr>
          <w:rFonts w:asciiTheme="majorBidi" w:hAnsiTheme="majorBidi" w:cstheme="majorBidi"/>
          <w:i/>
          <w:iCs/>
        </w:rPr>
        <w:t xml:space="preserve"> Listening Comprehension</w:t>
      </w:r>
    </w:p>
    <w:p w14:paraId="36D57A3C" w14:textId="77777777" w:rsidR="00A4467C" w:rsidRPr="001F2624" w:rsidRDefault="005E07B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TBLT constitutes an innovative way of language teaching which promises flourishing opportunities for second and foreign language acquisition and enjoys promising growth of interest, because as Ellis (2003) puts it, the primary focus of a task is on meaning</w:t>
      </w:r>
      <w:r w:rsidR="00184A96" w:rsidRPr="001F2624">
        <w:rPr>
          <w:rFonts w:asciiTheme="majorBidi" w:hAnsiTheme="majorBidi" w:cstheme="majorBidi"/>
        </w:rPr>
        <w:t>, tasks engage learners in drawing on their cognitive an</w:t>
      </w:r>
      <w:r w:rsidR="00220CBF">
        <w:rPr>
          <w:rFonts w:asciiTheme="majorBidi" w:hAnsiTheme="majorBidi" w:cstheme="majorBidi"/>
        </w:rPr>
        <w:t>d linguistics resources, and their</w:t>
      </w:r>
      <w:r w:rsidR="00184A96" w:rsidRPr="001F2624">
        <w:rPr>
          <w:rFonts w:asciiTheme="majorBidi" w:hAnsiTheme="majorBidi" w:cstheme="majorBidi"/>
        </w:rPr>
        <w:t xml:space="preserve"> accomplishment requires learners to use language</w:t>
      </w:r>
      <w:r w:rsidR="00220CBF">
        <w:rPr>
          <w:rFonts w:asciiTheme="majorBidi" w:hAnsiTheme="majorBidi" w:cstheme="majorBidi"/>
        </w:rPr>
        <w:t xml:space="preserve"> </w:t>
      </w:r>
      <w:r w:rsidR="00184A96" w:rsidRPr="001F2624">
        <w:rPr>
          <w:rFonts w:asciiTheme="majorBidi" w:hAnsiTheme="majorBidi" w:cstheme="majorBidi"/>
        </w:rPr>
        <w:t>to</w:t>
      </w:r>
      <w:r w:rsidR="006E6795" w:rsidRPr="001F2624">
        <w:rPr>
          <w:rFonts w:asciiTheme="majorBidi" w:hAnsiTheme="majorBidi" w:cstheme="majorBidi"/>
        </w:rPr>
        <w:t xml:space="preserve"> perform a </w:t>
      </w:r>
      <w:r w:rsidR="009B433F" w:rsidRPr="001F2624">
        <w:rPr>
          <w:rFonts w:asciiTheme="majorBidi" w:hAnsiTheme="majorBidi" w:cstheme="majorBidi"/>
        </w:rPr>
        <w:t>real-life</w:t>
      </w:r>
      <w:r w:rsidR="006E6795" w:rsidRPr="001F2624">
        <w:rPr>
          <w:rFonts w:asciiTheme="majorBidi" w:hAnsiTheme="majorBidi" w:cstheme="majorBidi"/>
        </w:rPr>
        <w:t xml:space="preserve"> activity. It is t</w:t>
      </w:r>
      <w:r w:rsidR="00184A96" w:rsidRPr="001F2624">
        <w:rPr>
          <w:rFonts w:asciiTheme="majorBidi" w:hAnsiTheme="majorBidi" w:cstheme="majorBidi"/>
        </w:rPr>
        <w:t>he inherent life-like qualities of task</w:t>
      </w:r>
      <w:r w:rsidR="006E6795" w:rsidRPr="001F2624">
        <w:rPr>
          <w:rFonts w:asciiTheme="majorBidi" w:hAnsiTheme="majorBidi" w:cstheme="majorBidi"/>
        </w:rPr>
        <w:t xml:space="preserve"> that</w:t>
      </w:r>
      <w:r w:rsidR="00184A96" w:rsidRPr="001F2624">
        <w:rPr>
          <w:rFonts w:asciiTheme="majorBidi" w:hAnsiTheme="majorBidi" w:cstheme="majorBidi"/>
        </w:rPr>
        <w:t xml:space="preserve"> make TBLT an ideal medium for teaching, assessing and researching into learning processes (Ahmadian, 2016)</w:t>
      </w:r>
      <w:r w:rsidR="006E6795" w:rsidRPr="001F2624">
        <w:rPr>
          <w:rFonts w:asciiTheme="majorBidi" w:hAnsiTheme="majorBidi" w:cstheme="majorBidi"/>
        </w:rPr>
        <w:t>.</w:t>
      </w:r>
    </w:p>
    <w:p w14:paraId="36BF0FF0" w14:textId="77777777" w:rsidR="006E6795" w:rsidRPr="001F2624" w:rsidRDefault="006E6795"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lastRenderedPageBreak/>
        <w:t xml:space="preserve">It seems that the definition of task and its difference with activity and exercise depends on who defines it. As Richards (2015) suggests, task is need-relevant and meaning-focused performance on the part of the learner that urges them to interact with others in a strategic fashion while providing them opportunities to reflect on their language use. </w:t>
      </w:r>
      <w:r w:rsidR="006E29CA" w:rsidRPr="001F2624">
        <w:rPr>
          <w:rFonts w:asciiTheme="majorBidi" w:hAnsiTheme="majorBidi" w:cstheme="majorBidi"/>
        </w:rPr>
        <w:t>He defines exercise as a teaching procedure that involves controlled, guided and open-ended practice on some aspects of language</w:t>
      </w:r>
      <w:r w:rsidR="001F1D4F" w:rsidRPr="001F2624">
        <w:rPr>
          <w:rFonts w:asciiTheme="majorBidi" w:hAnsiTheme="majorBidi" w:cstheme="majorBidi"/>
        </w:rPr>
        <w:t>,</w:t>
      </w:r>
      <w:r w:rsidR="006E29CA" w:rsidRPr="001F2624">
        <w:rPr>
          <w:rFonts w:asciiTheme="majorBidi" w:hAnsiTheme="majorBidi" w:cstheme="majorBidi"/>
        </w:rPr>
        <w:t xml:space="preserve"> like a drill, while activity is the more general term referring to any kind of purposeful classroom procedure</w:t>
      </w:r>
      <w:r w:rsidR="001F1D4F" w:rsidRPr="001F2624">
        <w:rPr>
          <w:rFonts w:asciiTheme="majorBidi" w:hAnsiTheme="majorBidi" w:cstheme="majorBidi"/>
        </w:rPr>
        <w:t xml:space="preserve"> that relates to the goals of the course, like having a group discussion.</w:t>
      </w:r>
      <w:r w:rsidR="00220CBF">
        <w:rPr>
          <w:rFonts w:asciiTheme="majorBidi" w:hAnsiTheme="majorBidi" w:cstheme="majorBidi"/>
        </w:rPr>
        <w:t xml:space="preserve"> </w:t>
      </w:r>
      <w:r w:rsidR="00671ECC" w:rsidRPr="001F2624">
        <w:rPr>
          <w:rFonts w:asciiTheme="majorBidi" w:hAnsiTheme="majorBidi" w:cstheme="majorBidi"/>
        </w:rPr>
        <w:t>Widdowson (1998) also attributes the difference between task and e</w:t>
      </w:r>
      <w:r w:rsidR="00220CBF">
        <w:rPr>
          <w:rFonts w:asciiTheme="majorBidi" w:hAnsiTheme="majorBidi" w:cstheme="majorBidi"/>
        </w:rPr>
        <w:t>xercise to</w:t>
      </w:r>
      <w:r w:rsidR="00671ECC" w:rsidRPr="001F2624">
        <w:rPr>
          <w:rFonts w:asciiTheme="majorBidi" w:hAnsiTheme="majorBidi" w:cstheme="majorBidi"/>
        </w:rPr>
        <w:t xml:space="preserve"> the necessity of pragmatic communicative meaning and propositional content for an activity to be a task while exercise has its focus on linguistic form and semantic meaning.</w:t>
      </w:r>
      <w:r w:rsidR="00FE53AA" w:rsidRPr="001F2624">
        <w:rPr>
          <w:rFonts w:asciiTheme="majorBidi" w:hAnsiTheme="majorBidi" w:cstheme="majorBidi"/>
        </w:rPr>
        <w:t xml:space="preserve"> What Ellis (2009, p. 223) provides is a conclusive set of criteria to define a task:</w:t>
      </w:r>
    </w:p>
    <w:p w14:paraId="5AD3303F" w14:textId="77777777" w:rsidR="00FE53AA" w:rsidRPr="001F2624" w:rsidRDefault="00FE53AA" w:rsidP="0019078C">
      <w:pPr>
        <w:pStyle w:val="ListParagraph"/>
        <w:numPr>
          <w:ilvl w:val="0"/>
          <w:numId w:val="6"/>
        </w:numPr>
        <w:autoSpaceDE w:val="0"/>
        <w:autoSpaceDN w:val="0"/>
        <w:adjustRightInd w:val="0"/>
        <w:spacing w:after="120" w:line="240" w:lineRule="auto"/>
        <w:jc w:val="both"/>
        <w:rPr>
          <w:rFonts w:asciiTheme="majorBidi" w:hAnsiTheme="majorBidi" w:cstheme="majorBidi"/>
        </w:rPr>
      </w:pPr>
      <w:r w:rsidRPr="001F2624">
        <w:rPr>
          <w:rFonts w:asciiTheme="majorBidi" w:hAnsiTheme="majorBidi" w:cstheme="majorBidi"/>
        </w:rPr>
        <w:t>The primary focus should be on ‘m</w:t>
      </w:r>
      <w:r w:rsidR="00516FC2">
        <w:rPr>
          <w:rFonts w:asciiTheme="majorBidi" w:hAnsiTheme="majorBidi" w:cstheme="majorBidi"/>
        </w:rPr>
        <w:t xml:space="preserve">eaning’ (i.e., </w:t>
      </w:r>
      <w:r w:rsidRPr="001F2624">
        <w:rPr>
          <w:rFonts w:asciiTheme="majorBidi" w:hAnsiTheme="majorBidi" w:cstheme="majorBidi"/>
        </w:rPr>
        <w:t>learners should be mainly concerned with processing the semantic and pragmatic meaning of utterances).</w:t>
      </w:r>
    </w:p>
    <w:p w14:paraId="72EEB45B" w14:textId="77777777" w:rsidR="00FE53AA" w:rsidRPr="001F2624" w:rsidRDefault="00FE53AA" w:rsidP="0019078C">
      <w:pPr>
        <w:pStyle w:val="ListParagraph"/>
        <w:numPr>
          <w:ilvl w:val="0"/>
          <w:numId w:val="6"/>
        </w:numPr>
        <w:autoSpaceDE w:val="0"/>
        <w:autoSpaceDN w:val="0"/>
        <w:adjustRightInd w:val="0"/>
        <w:spacing w:after="120" w:line="240" w:lineRule="auto"/>
        <w:jc w:val="both"/>
        <w:rPr>
          <w:rFonts w:asciiTheme="majorBidi" w:hAnsiTheme="majorBidi" w:cstheme="majorBidi"/>
        </w:rPr>
      </w:pPr>
      <w:r w:rsidRPr="001F2624">
        <w:rPr>
          <w:rFonts w:asciiTheme="majorBidi" w:hAnsiTheme="majorBidi" w:cstheme="majorBidi"/>
        </w:rPr>
        <w:t>There should be some kind of ‘gap’ (i.e.</w:t>
      </w:r>
      <w:r w:rsidR="00516FC2">
        <w:rPr>
          <w:rFonts w:asciiTheme="majorBidi" w:hAnsiTheme="majorBidi" w:cstheme="majorBidi"/>
        </w:rPr>
        <w:t>,</w:t>
      </w:r>
      <w:r w:rsidRPr="001F2624">
        <w:rPr>
          <w:rFonts w:asciiTheme="majorBidi" w:hAnsiTheme="majorBidi" w:cstheme="majorBidi"/>
        </w:rPr>
        <w:t xml:space="preserve"> a need to convey information, to express an opinion or to infer meaning).</w:t>
      </w:r>
    </w:p>
    <w:p w14:paraId="4A89EE3C" w14:textId="77777777" w:rsidR="00FE53AA" w:rsidRPr="001F2624" w:rsidRDefault="00FE53AA" w:rsidP="0019078C">
      <w:pPr>
        <w:pStyle w:val="ListParagraph"/>
        <w:numPr>
          <w:ilvl w:val="0"/>
          <w:numId w:val="6"/>
        </w:numPr>
        <w:autoSpaceDE w:val="0"/>
        <w:autoSpaceDN w:val="0"/>
        <w:adjustRightInd w:val="0"/>
        <w:spacing w:after="120" w:line="240" w:lineRule="auto"/>
        <w:jc w:val="both"/>
        <w:rPr>
          <w:rFonts w:asciiTheme="majorBidi" w:hAnsiTheme="majorBidi" w:cstheme="majorBidi"/>
        </w:rPr>
      </w:pPr>
      <w:r w:rsidRPr="001F2624">
        <w:rPr>
          <w:rFonts w:asciiTheme="majorBidi" w:hAnsiTheme="majorBidi" w:cstheme="majorBidi"/>
        </w:rPr>
        <w:t>Learner</w:t>
      </w:r>
      <w:r w:rsidR="00516FC2">
        <w:rPr>
          <w:rFonts w:asciiTheme="majorBidi" w:hAnsiTheme="majorBidi" w:cstheme="majorBidi"/>
        </w:rPr>
        <w:t>s should largely have to rely on</w:t>
      </w:r>
      <w:r w:rsidRPr="001F2624">
        <w:rPr>
          <w:rFonts w:asciiTheme="majorBidi" w:hAnsiTheme="majorBidi" w:cstheme="majorBidi"/>
        </w:rPr>
        <w:t xml:space="preserve"> their own resources (linguistic and non-linguistic) in order to complete the activity.</w:t>
      </w:r>
    </w:p>
    <w:p w14:paraId="28855249" w14:textId="77777777" w:rsidR="00671ECC" w:rsidRPr="001F2624" w:rsidRDefault="00FE53AA" w:rsidP="0019078C">
      <w:pPr>
        <w:pStyle w:val="ListParagraph"/>
        <w:numPr>
          <w:ilvl w:val="0"/>
          <w:numId w:val="6"/>
        </w:numPr>
        <w:autoSpaceDE w:val="0"/>
        <w:autoSpaceDN w:val="0"/>
        <w:adjustRightInd w:val="0"/>
        <w:spacing w:after="120" w:line="240" w:lineRule="auto"/>
        <w:jc w:val="both"/>
        <w:rPr>
          <w:rFonts w:asciiTheme="majorBidi" w:hAnsiTheme="majorBidi" w:cstheme="majorBidi"/>
        </w:rPr>
      </w:pPr>
      <w:r w:rsidRPr="001F2624">
        <w:rPr>
          <w:rFonts w:asciiTheme="majorBidi" w:hAnsiTheme="majorBidi" w:cstheme="majorBidi"/>
        </w:rPr>
        <w:t>There is a clearly defined outcome other than the use of language (i.e.</w:t>
      </w:r>
      <w:r w:rsidR="00516FC2">
        <w:rPr>
          <w:rFonts w:asciiTheme="majorBidi" w:hAnsiTheme="majorBidi" w:cstheme="majorBidi"/>
        </w:rPr>
        <w:t>,</w:t>
      </w:r>
      <w:r w:rsidRPr="001F2624">
        <w:rPr>
          <w:rFonts w:asciiTheme="majorBidi" w:hAnsiTheme="majorBidi" w:cstheme="majorBidi"/>
        </w:rPr>
        <w:t xml:space="preserve"> the language serves as the means for achieving the outcome, not as an end in its own right).</w:t>
      </w:r>
    </w:p>
    <w:p w14:paraId="1DB26FDF" w14:textId="77777777" w:rsidR="00FE53AA" w:rsidRPr="003973ED" w:rsidRDefault="00537C45" w:rsidP="003973ED">
      <w:pPr>
        <w:spacing w:after="120" w:line="240" w:lineRule="auto"/>
        <w:ind w:left="115" w:right="72" w:firstLine="562"/>
        <w:jc w:val="both"/>
        <w:rPr>
          <w:rFonts w:asciiTheme="majorBidi" w:hAnsiTheme="majorBidi" w:cstheme="majorBidi"/>
        </w:rPr>
      </w:pPr>
      <w:r w:rsidRPr="003973ED">
        <w:rPr>
          <w:rFonts w:asciiTheme="majorBidi" w:hAnsiTheme="majorBidi" w:cstheme="majorBidi"/>
        </w:rPr>
        <w:t>As Bygate</w:t>
      </w:r>
      <w:r w:rsidR="00FE53AA" w:rsidRPr="003973ED">
        <w:rPr>
          <w:rFonts w:asciiTheme="majorBidi" w:hAnsiTheme="majorBidi" w:cstheme="majorBidi"/>
        </w:rPr>
        <w:t xml:space="preserve"> (2016)</w:t>
      </w:r>
      <w:r w:rsidRPr="003973ED">
        <w:rPr>
          <w:rFonts w:asciiTheme="majorBidi" w:hAnsiTheme="majorBidi" w:cstheme="majorBidi"/>
        </w:rPr>
        <w:t xml:space="preserve"> elaborate</w:t>
      </w:r>
      <w:r w:rsidR="00011B42" w:rsidRPr="003973ED">
        <w:rPr>
          <w:rFonts w:asciiTheme="majorBidi" w:hAnsiTheme="majorBidi" w:cstheme="majorBidi"/>
        </w:rPr>
        <w:t>s</w:t>
      </w:r>
      <w:r w:rsidRPr="003973ED">
        <w:rPr>
          <w:rFonts w:asciiTheme="majorBidi" w:hAnsiTheme="majorBidi" w:cstheme="majorBidi"/>
        </w:rPr>
        <w:t xml:space="preserve"> on the four aforementioned criteria, semantic and pragmatic meaning should </w:t>
      </w:r>
      <w:r w:rsidR="00011B42" w:rsidRPr="003973ED">
        <w:rPr>
          <w:rFonts w:asciiTheme="majorBidi" w:hAnsiTheme="majorBidi" w:cstheme="majorBidi"/>
        </w:rPr>
        <w:t>be in focus when learners are he</w:t>
      </w:r>
      <w:r w:rsidRPr="003973ED">
        <w:rPr>
          <w:rFonts w:asciiTheme="majorBidi" w:hAnsiTheme="majorBidi" w:cstheme="majorBidi"/>
        </w:rPr>
        <w:t xml:space="preserve">ld responsible for conveying and inferring meaning and they need to be self-regulated in using </w:t>
      </w:r>
      <w:r w:rsidR="00011B42" w:rsidRPr="003973ED">
        <w:rPr>
          <w:rFonts w:asciiTheme="majorBidi" w:hAnsiTheme="majorBidi" w:cstheme="majorBidi"/>
        </w:rPr>
        <w:t>their own resources to do so while,</w:t>
      </w:r>
      <w:r w:rsidRPr="003973ED">
        <w:rPr>
          <w:rFonts w:asciiTheme="majorBidi" w:hAnsiTheme="majorBidi" w:cstheme="majorBidi"/>
        </w:rPr>
        <w:t xml:space="preserve"> in the process</w:t>
      </w:r>
      <w:r w:rsidR="00011B42" w:rsidRPr="003973ED">
        <w:rPr>
          <w:rFonts w:asciiTheme="majorBidi" w:hAnsiTheme="majorBidi" w:cstheme="majorBidi"/>
        </w:rPr>
        <w:t>,</w:t>
      </w:r>
      <w:r w:rsidRPr="003973ED">
        <w:rPr>
          <w:rFonts w:asciiTheme="majorBidi" w:hAnsiTheme="majorBidi" w:cstheme="majorBidi"/>
        </w:rPr>
        <w:t xml:space="preserve"> learners would come up with an outcome that can be considered by peers or the instructor</w:t>
      </w:r>
      <w:r w:rsidR="004474C7" w:rsidRPr="003973ED">
        <w:rPr>
          <w:rFonts w:asciiTheme="majorBidi" w:hAnsiTheme="majorBidi" w:cstheme="majorBidi"/>
        </w:rPr>
        <w:t xml:space="preserve"> and maintains that such approach requires a change in educational traditions so to form the </w:t>
      </w:r>
      <w:r w:rsidR="00531DCF" w:rsidRPr="003973ED">
        <w:rPr>
          <w:rFonts w:asciiTheme="majorBidi" w:hAnsiTheme="majorBidi" w:cstheme="majorBidi"/>
        </w:rPr>
        <w:t>“</w:t>
      </w:r>
      <w:r w:rsidR="004474C7" w:rsidRPr="003973ED">
        <w:rPr>
          <w:rFonts w:asciiTheme="majorBidi" w:hAnsiTheme="majorBidi" w:cstheme="majorBidi"/>
        </w:rPr>
        <w:t>hub</w:t>
      </w:r>
      <w:r w:rsidR="00531DCF" w:rsidRPr="003973ED">
        <w:rPr>
          <w:rFonts w:asciiTheme="majorBidi" w:hAnsiTheme="majorBidi" w:cstheme="majorBidi"/>
        </w:rPr>
        <w:t>” (Bygate, 2016</w:t>
      </w:r>
      <w:r w:rsidR="00CE3814" w:rsidRPr="003973ED">
        <w:rPr>
          <w:rFonts w:asciiTheme="majorBidi" w:hAnsiTheme="majorBidi" w:cstheme="majorBidi"/>
        </w:rPr>
        <w:t xml:space="preserve">, </w:t>
      </w:r>
      <w:r w:rsidR="00531DCF" w:rsidRPr="003973ED">
        <w:rPr>
          <w:rFonts w:asciiTheme="majorBidi" w:hAnsiTheme="majorBidi" w:cstheme="majorBidi"/>
        </w:rPr>
        <w:t>p. 386)</w:t>
      </w:r>
      <w:r w:rsidR="004474C7" w:rsidRPr="003973ED">
        <w:rPr>
          <w:rFonts w:asciiTheme="majorBidi" w:hAnsiTheme="majorBidi" w:cstheme="majorBidi"/>
        </w:rPr>
        <w:t xml:space="preserve"> for the full range of learning processes.</w:t>
      </w:r>
    </w:p>
    <w:p w14:paraId="617A7E13" w14:textId="77777777" w:rsidR="00937B99" w:rsidRPr="003973ED" w:rsidRDefault="00C15861" w:rsidP="003973ED">
      <w:pPr>
        <w:spacing w:after="120" w:line="240" w:lineRule="auto"/>
        <w:ind w:left="115" w:right="72" w:firstLine="562"/>
        <w:jc w:val="both"/>
        <w:rPr>
          <w:rFonts w:asciiTheme="majorBidi" w:hAnsiTheme="majorBidi" w:cstheme="majorBidi"/>
        </w:rPr>
      </w:pPr>
      <w:r w:rsidRPr="003973ED">
        <w:rPr>
          <w:rFonts w:asciiTheme="majorBidi" w:hAnsiTheme="majorBidi" w:cstheme="majorBidi"/>
        </w:rPr>
        <w:t xml:space="preserve">Task-based instruction has come a long way from earlier work mostly focusing on </w:t>
      </w:r>
      <w:r w:rsidR="00A27BBF" w:rsidRPr="003973ED">
        <w:rPr>
          <w:rFonts w:asciiTheme="majorBidi" w:hAnsiTheme="majorBidi" w:cstheme="majorBidi"/>
        </w:rPr>
        <w:t xml:space="preserve">how </w:t>
      </w:r>
      <w:r w:rsidRPr="003973ED">
        <w:rPr>
          <w:rFonts w:asciiTheme="majorBidi" w:hAnsiTheme="majorBidi" w:cstheme="majorBidi"/>
        </w:rPr>
        <w:t>aspects of performance like accuracy, fluency or complexity affect learners’ performance during task performance (</w:t>
      </w:r>
      <w:r w:rsidR="00CC4992" w:rsidRPr="003973ED">
        <w:rPr>
          <w:rFonts w:asciiTheme="majorBidi" w:hAnsiTheme="majorBidi" w:cstheme="majorBidi"/>
        </w:rPr>
        <w:t xml:space="preserve">e.g. </w:t>
      </w:r>
      <w:r w:rsidR="00C244BA" w:rsidRPr="003973ED">
        <w:rPr>
          <w:rFonts w:asciiTheme="majorBidi" w:hAnsiTheme="majorBidi" w:cstheme="majorBidi"/>
        </w:rPr>
        <w:t>Foster &amp;</w:t>
      </w:r>
      <w:r w:rsidR="00011B42" w:rsidRPr="003973ED">
        <w:rPr>
          <w:rFonts w:asciiTheme="majorBidi" w:hAnsiTheme="majorBidi" w:cstheme="majorBidi"/>
        </w:rPr>
        <w:t xml:space="preserve"> </w:t>
      </w:r>
      <w:r w:rsidR="00C244BA" w:rsidRPr="003973ED">
        <w:rPr>
          <w:rFonts w:asciiTheme="majorBidi" w:hAnsiTheme="majorBidi" w:cstheme="majorBidi"/>
        </w:rPr>
        <w:t>Skeha</w:t>
      </w:r>
      <w:r w:rsidRPr="003973ED">
        <w:rPr>
          <w:rFonts w:asciiTheme="majorBidi" w:hAnsiTheme="majorBidi" w:cstheme="majorBidi"/>
        </w:rPr>
        <w:t>n, 1996)</w:t>
      </w:r>
      <w:r w:rsidR="00A27BBF" w:rsidRPr="003973ED">
        <w:rPr>
          <w:rFonts w:asciiTheme="majorBidi" w:hAnsiTheme="majorBidi" w:cstheme="majorBidi"/>
        </w:rPr>
        <w:t>, to how types of tasks, whether input-based</w:t>
      </w:r>
      <w:r w:rsidR="009F39FB" w:rsidRPr="003973ED">
        <w:rPr>
          <w:rFonts w:asciiTheme="majorBidi" w:hAnsiTheme="majorBidi" w:cstheme="majorBidi"/>
        </w:rPr>
        <w:t xml:space="preserve">, </w:t>
      </w:r>
      <w:r w:rsidR="00A27BBF" w:rsidRPr="003973ED">
        <w:rPr>
          <w:rFonts w:asciiTheme="majorBidi" w:hAnsiTheme="majorBidi" w:cstheme="majorBidi"/>
        </w:rPr>
        <w:t>output-based</w:t>
      </w:r>
      <w:r w:rsidR="00CC4992" w:rsidRPr="003973ED">
        <w:rPr>
          <w:rFonts w:asciiTheme="majorBidi" w:hAnsiTheme="majorBidi" w:cstheme="majorBidi"/>
        </w:rPr>
        <w:t>,</w:t>
      </w:r>
      <w:r w:rsidR="00A27BBF" w:rsidRPr="003973ED">
        <w:rPr>
          <w:rFonts w:asciiTheme="majorBidi" w:hAnsiTheme="majorBidi" w:cstheme="majorBidi"/>
        </w:rPr>
        <w:t xml:space="preserve"> focused </w:t>
      </w:r>
      <w:r w:rsidR="009F39FB" w:rsidRPr="003973ED">
        <w:rPr>
          <w:rFonts w:asciiTheme="majorBidi" w:hAnsiTheme="majorBidi" w:cstheme="majorBidi"/>
        </w:rPr>
        <w:t>or</w:t>
      </w:r>
      <w:r w:rsidR="00011B42" w:rsidRPr="003973ED">
        <w:rPr>
          <w:rFonts w:asciiTheme="majorBidi" w:hAnsiTheme="majorBidi" w:cstheme="majorBidi"/>
        </w:rPr>
        <w:t xml:space="preserve"> </w:t>
      </w:r>
      <w:r w:rsidR="00CC4992" w:rsidRPr="003973ED">
        <w:rPr>
          <w:rFonts w:asciiTheme="majorBidi" w:hAnsiTheme="majorBidi" w:cstheme="majorBidi"/>
        </w:rPr>
        <w:t>unfocused</w:t>
      </w:r>
      <w:r w:rsidR="00011B42" w:rsidRPr="003973ED">
        <w:rPr>
          <w:rFonts w:asciiTheme="majorBidi" w:hAnsiTheme="majorBidi" w:cstheme="majorBidi"/>
        </w:rPr>
        <w:t>, affect</w:t>
      </w:r>
      <w:r w:rsidR="00CC4992" w:rsidRPr="003973ED">
        <w:rPr>
          <w:rFonts w:asciiTheme="majorBidi" w:hAnsiTheme="majorBidi" w:cstheme="majorBidi"/>
        </w:rPr>
        <w:t xml:space="preserve"> learners’ processing capacity and language learning</w:t>
      </w:r>
      <w:r w:rsidR="00A27BBF" w:rsidRPr="003973ED">
        <w:rPr>
          <w:rFonts w:asciiTheme="majorBidi" w:hAnsiTheme="majorBidi" w:cstheme="majorBidi"/>
        </w:rPr>
        <w:t xml:space="preserve"> (</w:t>
      </w:r>
      <w:r w:rsidR="00CC4992" w:rsidRPr="003973ED">
        <w:rPr>
          <w:rFonts w:asciiTheme="majorBidi" w:hAnsiTheme="majorBidi" w:cstheme="majorBidi"/>
        </w:rPr>
        <w:t>e.g.</w:t>
      </w:r>
      <w:r w:rsidR="00E16ADE" w:rsidRPr="003973ED">
        <w:rPr>
          <w:rFonts w:asciiTheme="majorBidi" w:hAnsiTheme="majorBidi" w:cstheme="majorBidi"/>
        </w:rPr>
        <w:t xml:space="preserve"> Ellis, 2009</w:t>
      </w:r>
      <w:r w:rsidR="00CC4992" w:rsidRPr="003973ED">
        <w:rPr>
          <w:rFonts w:asciiTheme="majorBidi" w:hAnsiTheme="majorBidi" w:cstheme="majorBidi"/>
        </w:rPr>
        <w:t>; Skehan</w:t>
      </w:r>
      <w:r w:rsidR="00011B42" w:rsidRPr="003973ED">
        <w:rPr>
          <w:rFonts w:asciiTheme="majorBidi" w:hAnsiTheme="majorBidi" w:cstheme="majorBidi"/>
        </w:rPr>
        <w:t xml:space="preserve"> </w:t>
      </w:r>
      <w:r w:rsidR="00CC4992" w:rsidRPr="003973ED">
        <w:rPr>
          <w:rFonts w:asciiTheme="majorBidi" w:hAnsiTheme="majorBidi" w:cstheme="majorBidi"/>
        </w:rPr>
        <w:t>&amp; Foste</w:t>
      </w:r>
      <w:r w:rsidR="000A0FD7" w:rsidRPr="003973ED">
        <w:rPr>
          <w:rFonts w:asciiTheme="majorBidi" w:hAnsiTheme="majorBidi" w:cstheme="majorBidi"/>
        </w:rPr>
        <w:t>r, 1999</w:t>
      </w:r>
      <w:r w:rsidR="00A27BBF" w:rsidRPr="003973ED">
        <w:rPr>
          <w:rFonts w:asciiTheme="majorBidi" w:hAnsiTheme="majorBidi" w:cstheme="majorBidi"/>
        </w:rPr>
        <w:t>)</w:t>
      </w:r>
      <w:r w:rsidR="009F39FB" w:rsidRPr="003973ED">
        <w:rPr>
          <w:rFonts w:asciiTheme="majorBidi" w:hAnsiTheme="majorBidi" w:cstheme="majorBidi"/>
        </w:rPr>
        <w:t xml:space="preserve"> to this point where TBLT is inclined into shifting the prevailing focus from ESL context to EFL and from teacher-centered and directed instruction to more le</w:t>
      </w:r>
      <w:r w:rsidR="00976DC2" w:rsidRPr="003973ED">
        <w:rPr>
          <w:rFonts w:asciiTheme="majorBidi" w:hAnsiTheme="majorBidi" w:cstheme="majorBidi"/>
        </w:rPr>
        <w:t>arner-centered instruction in which</w:t>
      </w:r>
      <w:r w:rsidR="009F39FB" w:rsidRPr="003973ED">
        <w:rPr>
          <w:rFonts w:asciiTheme="majorBidi" w:hAnsiTheme="majorBidi" w:cstheme="majorBidi"/>
        </w:rPr>
        <w:t xml:space="preserve"> the learner is the center to all aspects of language teaching, including planning teaching and evaluation (Shehadeh, 2018).</w:t>
      </w:r>
      <w:r w:rsidR="002E0A49" w:rsidRPr="003973ED">
        <w:rPr>
          <w:rFonts w:asciiTheme="majorBidi" w:hAnsiTheme="majorBidi" w:cstheme="majorBidi"/>
        </w:rPr>
        <w:t xml:space="preserve"> As Chou (2017) also approves, the changing approach</w:t>
      </w:r>
      <w:r w:rsidR="00BB2AC3" w:rsidRPr="003973ED">
        <w:rPr>
          <w:rFonts w:asciiTheme="majorBidi" w:hAnsiTheme="majorBidi" w:cstheme="majorBidi"/>
        </w:rPr>
        <w:t xml:space="preserve"> in TBLT</w:t>
      </w:r>
      <w:r w:rsidR="002E0A49" w:rsidRPr="003973ED">
        <w:rPr>
          <w:rFonts w:asciiTheme="majorBidi" w:hAnsiTheme="majorBidi" w:cstheme="majorBidi"/>
        </w:rPr>
        <w:t xml:space="preserve"> has </w:t>
      </w:r>
      <w:r w:rsidR="00BB2AC3" w:rsidRPr="003973ED">
        <w:rPr>
          <w:rFonts w:asciiTheme="majorBidi" w:hAnsiTheme="majorBidi" w:cstheme="majorBidi"/>
        </w:rPr>
        <w:t xml:space="preserve">witnessed numerous studies on acquisition of vocabulary, and grammar and speaking and writing skills, but endeavors regarding the link between model of instruction and EFL learners’ </w:t>
      </w:r>
      <w:r w:rsidR="009C69A0" w:rsidRPr="003973ED">
        <w:rPr>
          <w:rFonts w:asciiTheme="majorBidi" w:hAnsiTheme="majorBidi" w:cstheme="majorBidi"/>
        </w:rPr>
        <w:t xml:space="preserve">L.C. </w:t>
      </w:r>
      <w:r w:rsidR="00BB2AC3" w:rsidRPr="003973ED">
        <w:rPr>
          <w:rFonts w:asciiTheme="majorBidi" w:hAnsiTheme="majorBidi" w:cstheme="majorBidi"/>
        </w:rPr>
        <w:t>has been bleak.</w:t>
      </w:r>
    </w:p>
    <w:p w14:paraId="3343845B" w14:textId="77777777" w:rsidR="00A37BAF" w:rsidRPr="003973ED" w:rsidRDefault="00DC7C00" w:rsidP="003973ED">
      <w:pPr>
        <w:spacing w:after="120" w:line="240" w:lineRule="auto"/>
        <w:ind w:left="115" w:right="72" w:firstLine="562"/>
        <w:jc w:val="both"/>
        <w:rPr>
          <w:rFonts w:asciiTheme="majorBidi" w:hAnsiTheme="majorBidi" w:cstheme="majorBidi"/>
        </w:rPr>
      </w:pPr>
      <w:r w:rsidRPr="003973ED">
        <w:rPr>
          <w:rFonts w:asciiTheme="majorBidi" w:hAnsiTheme="majorBidi" w:cstheme="majorBidi"/>
        </w:rPr>
        <w:t>A task-based instruction is created in terms of a sequence of tasks while all the learning and teaching processes are derived from the tasks</w:t>
      </w:r>
      <w:r w:rsidR="00CE3814" w:rsidRPr="003973ED">
        <w:rPr>
          <w:rFonts w:asciiTheme="majorBidi" w:hAnsiTheme="majorBidi" w:cstheme="majorBidi"/>
        </w:rPr>
        <w:t xml:space="preserve"> themselves (Bygate, 2016</w:t>
      </w:r>
      <w:r w:rsidRPr="003973ED">
        <w:rPr>
          <w:rFonts w:asciiTheme="majorBidi" w:hAnsiTheme="majorBidi" w:cstheme="majorBidi"/>
        </w:rPr>
        <w:t>). As he further explains, doing so is guaranteed through incorporating all needed elements of task-based approach in devising the procedure. The main elements of TBLT are needs analysis, the three-phase procedure of pre-task, on-task and post-task, the discovery-based element, and the project-based nature of TBLT.</w:t>
      </w:r>
      <w:r w:rsidR="00011B42" w:rsidRPr="003973ED">
        <w:rPr>
          <w:rFonts w:asciiTheme="majorBidi" w:hAnsiTheme="majorBidi" w:cstheme="majorBidi"/>
        </w:rPr>
        <w:t xml:space="preserve"> </w:t>
      </w:r>
      <w:r w:rsidR="00427189" w:rsidRPr="003973ED">
        <w:rPr>
          <w:rFonts w:asciiTheme="majorBidi" w:hAnsiTheme="majorBidi" w:cstheme="majorBidi"/>
        </w:rPr>
        <w:t>Although the three-phase procedure is the typical array of a task-based lesson, Norris</w:t>
      </w:r>
      <w:r w:rsidR="00024CF3" w:rsidRPr="003973ED">
        <w:rPr>
          <w:rFonts w:asciiTheme="majorBidi" w:hAnsiTheme="majorBidi" w:cstheme="majorBidi"/>
        </w:rPr>
        <w:t xml:space="preserve"> (2011) suggests that a task-based </w:t>
      </w:r>
      <w:r w:rsidR="009C69A0" w:rsidRPr="003973ED">
        <w:rPr>
          <w:rFonts w:asciiTheme="majorBidi" w:hAnsiTheme="majorBidi" w:cstheme="majorBidi"/>
        </w:rPr>
        <w:t>L.C.</w:t>
      </w:r>
      <w:r w:rsidR="00024CF3" w:rsidRPr="003973ED">
        <w:rPr>
          <w:rFonts w:asciiTheme="majorBidi" w:hAnsiTheme="majorBidi" w:cstheme="majorBidi"/>
        </w:rPr>
        <w:t xml:space="preserve"> instruction procedure typically involves four phases: task-input, pedagogical task work, target task </w:t>
      </w:r>
      <w:r w:rsidR="00A37BAF" w:rsidRPr="003973ED">
        <w:rPr>
          <w:rFonts w:asciiTheme="majorBidi" w:hAnsiTheme="majorBidi" w:cstheme="majorBidi"/>
        </w:rPr>
        <w:t>performance and task follow-up.</w:t>
      </w:r>
    </w:p>
    <w:p w14:paraId="40396EA6" w14:textId="77777777" w:rsidR="00531DCF" w:rsidRPr="003973ED" w:rsidRDefault="00B907D3" w:rsidP="003973ED">
      <w:pPr>
        <w:spacing w:after="120" w:line="240" w:lineRule="auto"/>
        <w:ind w:left="115" w:right="72" w:firstLine="562"/>
        <w:jc w:val="both"/>
        <w:rPr>
          <w:rFonts w:asciiTheme="majorBidi" w:hAnsiTheme="majorBidi" w:cstheme="majorBidi"/>
        </w:rPr>
      </w:pPr>
      <w:r w:rsidRPr="003973ED">
        <w:rPr>
          <w:rFonts w:asciiTheme="majorBidi" w:hAnsiTheme="majorBidi" w:cstheme="majorBidi"/>
        </w:rPr>
        <w:t>Norris (2011)</w:t>
      </w:r>
      <w:r w:rsidR="00024CF3" w:rsidRPr="003973ED">
        <w:rPr>
          <w:rFonts w:asciiTheme="majorBidi" w:hAnsiTheme="majorBidi" w:cstheme="majorBidi"/>
        </w:rPr>
        <w:t xml:space="preserve"> elaborates on the four phases as</w:t>
      </w:r>
      <w:r w:rsidR="00011B42" w:rsidRPr="003973ED">
        <w:rPr>
          <w:rFonts w:asciiTheme="majorBidi" w:hAnsiTheme="majorBidi" w:cstheme="majorBidi"/>
        </w:rPr>
        <w:t xml:space="preserve"> follows:</w:t>
      </w:r>
      <w:r w:rsidR="00024CF3" w:rsidRPr="003973ED">
        <w:rPr>
          <w:rFonts w:asciiTheme="majorBidi" w:hAnsiTheme="majorBidi" w:cstheme="majorBidi"/>
        </w:rPr>
        <w:t xml:space="preserve"> </w:t>
      </w:r>
      <w:r w:rsidR="00011B42" w:rsidRPr="003973ED">
        <w:rPr>
          <w:rFonts w:asciiTheme="majorBidi" w:hAnsiTheme="majorBidi" w:cstheme="majorBidi"/>
        </w:rPr>
        <w:t>T</w:t>
      </w:r>
      <w:r w:rsidR="00024CF3" w:rsidRPr="003973ED">
        <w:rPr>
          <w:rFonts w:asciiTheme="majorBidi" w:hAnsiTheme="majorBidi" w:cstheme="majorBidi"/>
        </w:rPr>
        <w:t>ask-input introduces the task,</w:t>
      </w:r>
      <w:r w:rsidR="00330BFC" w:rsidRPr="003973ED">
        <w:rPr>
          <w:rFonts w:asciiTheme="majorBidi" w:hAnsiTheme="majorBidi" w:cstheme="majorBidi"/>
        </w:rPr>
        <w:t xml:space="preserve"> and through presentation with no manipulation,</w:t>
      </w:r>
      <w:r w:rsidR="00024CF3" w:rsidRPr="003973ED">
        <w:rPr>
          <w:rFonts w:asciiTheme="majorBidi" w:hAnsiTheme="majorBidi" w:cstheme="majorBidi"/>
        </w:rPr>
        <w:t xml:space="preserve"> motivates learners to engage in a </w:t>
      </w:r>
      <w:r w:rsidR="009B433F" w:rsidRPr="003973ED">
        <w:rPr>
          <w:rFonts w:asciiTheme="majorBidi" w:hAnsiTheme="majorBidi" w:cstheme="majorBidi"/>
        </w:rPr>
        <w:t>real-world</w:t>
      </w:r>
      <w:r w:rsidR="00024CF3" w:rsidRPr="003973ED">
        <w:rPr>
          <w:rFonts w:asciiTheme="majorBidi" w:hAnsiTheme="majorBidi" w:cstheme="majorBidi"/>
        </w:rPr>
        <w:t xml:space="preserve"> communication, act</w:t>
      </w:r>
      <w:r w:rsidR="00330BFC" w:rsidRPr="003973ED">
        <w:rPr>
          <w:rFonts w:asciiTheme="majorBidi" w:hAnsiTheme="majorBidi" w:cstheme="majorBidi"/>
        </w:rPr>
        <w:t xml:space="preserve">ivates content schemata and encourages linkage to the context. </w:t>
      </w:r>
      <w:r w:rsidR="00A37BAF" w:rsidRPr="003973ED">
        <w:rPr>
          <w:rFonts w:asciiTheme="majorBidi" w:hAnsiTheme="majorBidi" w:cstheme="majorBidi"/>
        </w:rPr>
        <w:t>Norris sees this phase essential for learners to notice gaps in their L2 repertoires. What ensues after task-input is pedagogic task work where</w:t>
      </w:r>
      <w:r w:rsidR="00011B42" w:rsidRPr="003973ED">
        <w:rPr>
          <w:rFonts w:asciiTheme="majorBidi" w:hAnsiTheme="majorBidi" w:cstheme="majorBidi"/>
        </w:rPr>
        <w:t>,</w:t>
      </w:r>
      <w:r w:rsidR="00A37BAF" w:rsidRPr="003973ED">
        <w:rPr>
          <w:rFonts w:asciiTheme="majorBidi" w:hAnsiTheme="majorBidi" w:cstheme="majorBidi"/>
        </w:rPr>
        <w:t xml:space="preserve"> through manipulation of the task through segmentation and elaboration</w:t>
      </w:r>
      <w:r w:rsidR="00CE19CE" w:rsidRPr="003973ED">
        <w:rPr>
          <w:rFonts w:asciiTheme="majorBidi" w:hAnsiTheme="majorBidi" w:cstheme="majorBidi"/>
        </w:rPr>
        <w:t>, learners’ awareness</w:t>
      </w:r>
      <w:r w:rsidR="000D4104" w:rsidRPr="003973ED">
        <w:rPr>
          <w:rFonts w:asciiTheme="majorBidi" w:hAnsiTheme="majorBidi" w:cstheme="majorBidi"/>
        </w:rPr>
        <w:t xml:space="preserve"> is raised of new content, its form and its</w:t>
      </w:r>
      <w:r w:rsidR="00CE19CE" w:rsidRPr="003973ED">
        <w:rPr>
          <w:rFonts w:asciiTheme="majorBidi" w:hAnsiTheme="majorBidi" w:cstheme="majorBidi"/>
        </w:rPr>
        <w:t xml:space="preserve"> particular</w:t>
      </w:r>
      <w:r w:rsidR="000D4104" w:rsidRPr="003973ED">
        <w:rPr>
          <w:rFonts w:asciiTheme="majorBidi" w:hAnsiTheme="majorBidi" w:cstheme="majorBidi"/>
        </w:rPr>
        <w:t xml:space="preserve"> </w:t>
      </w:r>
      <w:r w:rsidR="00CE19CE" w:rsidRPr="003973ED">
        <w:rPr>
          <w:rFonts w:asciiTheme="majorBidi" w:hAnsiTheme="majorBidi" w:cstheme="majorBidi"/>
        </w:rPr>
        <w:t xml:space="preserve">function. This form-function </w:t>
      </w:r>
      <w:r w:rsidR="00CE19CE" w:rsidRPr="003973ED">
        <w:rPr>
          <w:rFonts w:asciiTheme="majorBidi" w:hAnsiTheme="majorBidi" w:cstheme="majorBidi"/>
        </w:rPr>
        <w:lastRenderedPageBreak/>
        <w:t>elaboration is mainly done through input enhancement or through learners’ analysis of the task discourse. Here is when pair and group work draws the major benefit while the teacher monitors the task process and learners’ language use and provides feedback.</w:t>
      </w:r>
      <w:r w:rsidR="000D4104" w:rsidRPr="003973ED">
        <w:rPr>
          <w:rFonts w:asciiTheme="majorBidi" w:hAnsiTheme="majorBidi" w:cstheme="majorBidi"/>
        </w:rPr>
        <w:t xml:space="preserve"> </w:t>
      </w:r>
      <w:r w:rsidR="001B3AA3" w:rsidRPr="003973ED">
        <w:rPr>
          <w:rFonts w:asciiTheme="majorBidi" w:hAnsiTheme="majorBidi" w:cstheme="majorBidi"/>
        </w:rPr>
        <w:t xml:space="preserve">As maintained by Norris (2011), target task performance is when meaningful communication happens and learners integrate </w:t>
      </w:r>
      <w:r w:rsidR="00293E57" w:rsidRPr="003973ED">
        <w:rPr>
          <w:rFonts w:asciiTheme="majorBidi" w:hAnsiTheme="majorBidi" w:cstheme="majorBidi"/>
        </w:rPr>
        <w:t xml:space="preserve">their sources of content and linguistic knowledge, and cognitive and metacognitive strategic knowledge, along other sources to perform the task. As the last phase, </w:t>
      </w:r>
      <w:r w:rsidR="002B11C2" w:rsidRPr="003973ED">
        <w:rPr>
          <w:rFonts w:asciiTheme="majorBidi" w:hAnsiTheme="majorBidi" w:cstheme="majorBidi"/>
        </w:rPr>
        <w:t>t</w:t>
      </w:r>
      <w:r w:rsidR="00293E57" w:rsidRPr="003973ED">
        <w:rPr>
          <w:rFonts w:asciiTheme="majorBidi" w:hAnsiTheme="majorBidi" w:cstheme="majorBidi"/>
        </w:rPr>
        <w:t xml:space="preserve">ask follow-up engages learners with reflection on </w:t>
      </w:r>
      <w:r w:rsidR="00E85625" w:rsidRPr="003973ED">
        <w:rPr>
          <w:rFonts w:asciiTheme="majorBidi" w:hAnsiTheme="majorBidi" w:cstheme="majorBidi"/>
        </w:rPr>
        <w:t xml:space="preserve">the performed task where they are reinforced to reflect on their gaps in knowledge and their being strategic in </w:t>
      </w:r>
      <w:r w:rsidRPr="003973ED">
        <w:rPr>
          <w:rFonts w:asciiTheme="majorBidi" w:hAnsiTheme="majorBidi" w:cstheme="majorBidi"/>
        </w:rPr>
        <w:t>overcoming the located deficiencies is called upon.</w:t>
      </w:r>
    </w:p>
    <w:p w14:paraId="7656BD1A" w14:textId="77777777" w:rsidR="002B11C2" w:rsidRPr="003973ED" w:rsidRDefault="002B11C2" w:rsidP="003973ED">
      <w:pPr>
        <w:spacing w:after="120" w:line="240" w:lineRule="auto"/>
        <w:ind w:left="115" w:right="72" w:firstLine="562"/>
        <w:jc w:val="both"/>
        <w:rPr>
          <w:rFonts w:asciiTheme="majorBidi" w:hAnsiTheme="majorBidi" w:cstheme="majorBidi"/>
        </w:rPr>
      </w:pPr>
      <w:r w:rsidRPr="003973ED">
        <w:rPr>
          <w:rFonts w:asciiTheme="majorBidi" w:hAnsiTheme="majorBidi" w:cstheme="majorBidi"/>
        </w:rPr>
        <w:t>Both task-based metacognitive instruction models introduced by Goh (2010) and Vandergrift (2004)</w:t>
      </w:r>
      <w:r w:rsidR="000D4104" w:rsidRPr="003973ED">
        <w:rPr>
          <w:rFonts w:asciiTheme="majorBidi" w:hAnsiTheme="majorBidi" w:cstheme="majorBidi"/>
        </w:rPr>
        <w:t>,</w:t>
      </w:r>
      <w:r w:rsidRPr="003973ED">
        <w:rPr>
          <w:rFonts w:asciiTheme="majorBidi" w:hAnsiTheme="majorBidi" w:cstheme="majorBidi"/>
        </w:rPr>
        <w:t xml:space="preserve"> that this research implemented</w:t>
      </w:r>
      <w:r w:rsidR="000D4104" w:rsidRPr="003973ED">
        <w:rPr>
          <w:rFonts w:asciiTheme="majorBidi" w:hAnsiTheme="majorBidi" w:cstheme="majorBidi"/>
        </w:rPr>
        <w:t>,</w:t>
      </w:r>
      <w:r w:rsidRPr="003973ED">
        <w:rPr>
          <w:rFonts w:asciiTheme="majorBidi" w:hAnsiTheme="majorBidi" w:cstheme="majorBidi"/>
        </w:rPr>
        <w:t xml:space="preserve"> incorporate the </w:t>
      </w:r>
      <w:r w:rsidR="009B433F" w:rsidRPr="003973ED">
        <w:rPr>
          <w:rFonts w:asciiTheme="majorBidi" w:hAnsiTheme="majorBidi" w:cstheme="majorBidi"/>
        </w:rPr>
        <w:t>four-phase</w:t>
      </w:r>
      <w:r w:rsidRPr="003973ED">
        <w:rPr>
          <w:rFonts w:asciiTheme="majorBidi" w:hAnsiTheme="majorBidi" w:cstheme="majorBidi"/>
        </w:rPr>
        <w:t xml:space="preserve"> array Norris (2011) elaborated on, with the major distinction in the emphasis each put on each phase and </w:t>
      </w:r>
      <w:r w:rsidR="009B433F" w:rsidRPr="003973ED">
        <w:rPr>
          <w:rFonts w:asciiTheme="majorBidi" w:hAnsiTheme="majorBidi" w:cstheme="majorBidi"/>
        </w:rPr>
        <w:t>their</w:t>
      </w:r>
      <w:r w:rsidR="00E94C4A" w:rsidRPr="003973ED">
        <w:rPr>
          <w:rFonts w:asciiTheme="majorBidi" w:hAnsiTheme="majorBidi" w:cstheme="majorBidi"/>
        </w:rPr>
        <w:t xml:space="preserve"> distinct view of strategy-nonintegrated and strategy-embedded outlook they each have into target task performance phase.</w:t>
      </w:r>
    </w:p>
    <w:p w14:paraId="78A196BD" w14:textId="02735B0D" w:rsidR="00A75AC0" w:rsidRPr="001F2624" w:rsidRDefault="00CA1CDE" w:rsidP="00773293">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 xml:space="preserve">  </w:t>
      </w:r>
      <w:r w:rsidR="00773293">
        <w:rPr>
          <w:rFonts w:asciiTheme="majorBidi" w:hAnsiTheme="majorBidi" w:cstheme="majorBidi"/>
          <w:i/>
          <w:iCs/>
        </w:rPr>
        <w:t xml:space="preserve">2.2. </w:t>
      </w:r>
      <w:r w:rsidR="00A75AC0" w:rsidRPr="001F2624">
        <w:rPr>
          <w:rFonts w:asciiTheme="majorBidi" w:hAnsiTheme="majorBidi" w:cstheme="majorBidi"/>
          <w:i/>
          <w:iCs/>
        </w:rPr>
        <w:t xml:space="preserve">Metacognitive </w:t>
      </w:r>
      <w:r w:rsidR="00773293" w:rsidRPr="001F2624">
        <w:rPr>
          <w:rFonts w:asciiTheme="majorBidi" w:hAnsiTheme="majorBidi" w:cstheme="majorBidi"/>
          <w:i/>
          <w:iCs/>
        </w:rPr>
        <w:t xml:space="preserve">Strategies </w:t>
      </w:r>
      <w:r w:rsidR="00773293">
        <w:rPr>
          <w:rFonts w:asciiTheme="majorBidi" w:hAnsiTheme="majorBidi" w:cstheme="majorBidi"/>
          <w:i/>
          <w:iCs/>
        </w:rPr>
        <w:t>and</w:t>
      </w:r>
      <w:r w:rsidR="00773293" w:rsidRPr="001F2624">
        <w:rPr>
          <w:rFonts w:asciiTheme="majorBidi" w:hAnsiTheme="majorBidi" w:cstheme="majorBidi"/>
          <w:i/>
          <w:iCs/>
        </w:rPr>
        <w:t xml:space="preserve"> Listening Comprehension</w:t>
      </w:r>
    </w:p>
    <w:p w14:paraId="6A20BA15" w14:textId="77777777" w:rsidR="00C17912" w:rsidRPr="001F2624" w:rsidRDefault="00911D66"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Listening strategies are activities or techniques which directly contribute to the comprehension of listening input and its recall (National Capital Language Resource Center, 2004). In line with general learni</w:t>
      </w:r>
      <w:r w:rsidR="00243FA6" w:rsidRPr="001F2624">
        <w:rPr>
          <w:rFonts w:asciiTheme="majorBidi" w:hAnsiTheme="majorBidi" w:cstheme="majorBidi"/>
        </w:rPr>
        <w:t>ng strategies categorized by O’M</w:t>
      </w:r>
      <w:r w:rsidRPr="001F2624">
        <w:rPr>
          <w:rFonts w:asciiTheme="majorBidi" w:hAnsiTheme="majorBidi" w:cstheme="majorBidi"/>
        </w:rPr>
        <w:t>alley and Chamot (1990), listening strategies can be classified into three types: cognitive, metac</w:t>
      </w:r>
      <w:r w:rsidR="00D00CD0" w:rsidRPr="001F2624">
        <w:rPr>
          <w:rFonts w:asciiTheme="majorBidi" w:hAnsiTheme="majorBidi" w:cstheme="majorBidi"/>
        </w:rPr>
        <w:t xml:space="preserve">ognitive, </w:t>
      </w:r>
      <w:r w:rsidRPr="001F2624">
        <w:rPr>
          <w:rFonts w:asciiTheme="majorBidi" w:hAnsiTheme="majorBidi" w:cstheme="majorBidi"/>
        </w:rPr>
        <w:t xml:space="preserve">and </w:t>
      </w:r>
      <w:r w:rsidR="00D00CD0" w:rsidRPr="001F2624">
        <w:rPr>
          <w:rFonts w:asciiTheme="majorBidi" w:hAnsiTheme="majorBidi" w:cstheme="majorBidi"/>
        </w:rPr>
        <w:t xml:space="preserve">socio-affective </w:t>
      </w:r>
      <w:r w:rsidR="000A0FD7" w:rsidRPr="001F2624">
        <w:rPr>
          <w:rFonts w:asciiTheme="majorBidi" w:hAnsiTheme="majorBidi" w:cstheme="majorBidi"/>
        </w:rPr>
        <w:t xml:space="preserve">(Vandergrift, </w:t>
      </w:r>
      <w:r w:rsidRPr="001F2624">
        <w:rPr>
          <w:rFonts w:asciiTheme="majorBidi" w:hAnsiTheme="majorBidi" w:cstheme="majorBidi"/>
        </w:rPr>
        <w:t>2003). Bacon (1992)</w:t>
      </w:r>
      <w:r w:rsidR="00E058C3" w:rsidRPr="001F2624">
        <w:rPr>
          <w:rFonts w:asciiTheme="majorBidi" w:hAnsiTheme="majorBidi" w:cstheme="majorBidi"/>
        </w:rPr>
        <w:t xml:space="preserve"> further classified</w:t>
      </w:r>
      <w:r w:rsidRPr="001F2624">
        <w:rPr>
          <w:rFonts w:asciiTheme="majorBidi" w:hAnsiTheme="majorBidi" w:cstheme="majorBidi"/>
        </w:rPr>
        <w:t xml:space="preserve"> metacognitive strategies into three types that are used before, during, and after listening. Before listening, the learners prepare for listening through manipulating the environment, focusing attention, applying an advance organizer, selective attention, a</w:t>
      </w:r>
      <w:r w:rsidR="00982530" w:rsidRPr="001F2624">
        <w:rPr>
          <w:rFonts w:asciiTheme="majorBidi" w:hAnsiTheme="majorBidi" w:cstheme="majorBidi"/>
        </w:rPr>
        <w:t>nd deciding to think in English</w:t>
      </w:r>
      <w:r w:rsidRPr="001F2624">
        <w:rPr>
          <w:rFonts w:asciiTheme="majorBidi" w:hAnsiTheme="majorBidi" w:cstheme="majorBidi"/>
        </w:rPr>
        <w:t>. In a basically similar way but in different terms, Goh (2008) generally classifies these strategies into planning, monitoring, and evaluating one’s listening in general. However, Vandergrift et al. (2006) consider metacognitive strategies as a part of metacognitive awareness that also includes person knowledge.</w:t>
      </w:r>
    </w:p>
    <w:p w14:paraId="048FA75A" w14:textId="77777777" w:rsidR="00E94171" w:rsidRPr="001F2624" w:rsidRDefault="0043362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In line with that, e</w:t>
      </w:r>
      <w:r w:rsidR="00E94171" w:rsidRPr="001F2624">
        <w:rPr>
          <w:rFonts w:asciiTheme="majorBidi" w:hAnsiTheme="majorBidi" w:cstheme="majorBidi"/>
        </w:rPr>
        <w:t>ducational psychology posits that self-regulated learning (SRL) involves action, is goal driven and involves strategies. Zimmerman and Schunk (2011, P. 1) strongly emphasize that “learners personally activate and sustain cognition, affects, and behaviors that are systematically oriented toward the</w:t>
      </w:r>
      <w:r w:rsidRPr="001F2624">
        <w:rPr>
          <w:rFonts w:asciiTheme="majorBidi" w:hAnsiTheme="majorBidi" w:cstheme="majorBidi"/>
        </w:rPr>
        <w:t xml:space="preserve"> attainment of personal goals.” And as</w:t>
      </w:r>
      <w:r w:rsidR="00E94171" w:rsidRPr="001F2624">
        <w:rPr>
          <w:rFonts w:asciiTheme="majorBidi" w:hAnsiTheme="majorBidi" w:cstheme="majorBidi"/>
        </w:rPr>
        <w:t xml:space="preserve"> Oxford (2017, p. 69) maintains, “Action is the very heart of self-regulation”</w:t>
      </w:r>
      <w:r w:rsidRPr="001F2624">
        <w:rPr>
          <w:rFonts w:asciiTheme="majorBidi" w:hAnsiTheme="majorBidi" w:cstheme="majorBidi"/>
        </w:rPr>
        <w:t xml:space="preserve"> at the heart of which </w:t>
      </w:r>
      <w:r w:rsidR="00E94171" w:rsidRPr="001F2624">
        <w:rPr>
          <w:rFonts w:asciiTheme="majorBidi" w:hAnsiTheme="majorBidi" w:cstheme="majorBidi"/>
        </w:rPr>
        <w:t>lies strategies. She argues a range of strategies to be incorporated from setting a goal, to managing the environment and tactfully incorporating the resources in reaching the goal and going through monitoring the performance as well as emotions and beliefs and asking for assistance in the process so that self-regulation is attained.</w:t>
      </w:r>
    </w:p>
    <w:p w14:paraId="1613D481" w14:textId="77777777" w:rsidR="00E94171" w:rsidRPr="003973ED" w:rsidRDefault="0043362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What has to be spotlighted is the fact that l</w:t>
      </w:r>
      <w:r w:rsidR="00E94171" w:rsidRPr="001F2624">
        <w:rPr>
          <w:rFonts w:asciiTheme="majorBidi" w:hAnsiTheme="majorBidi" w:cstheme="majorBidi"/>
        </w:rPr>
        <w:t>earners’ capacity to regulate affects and strategies play a pivotal role in language</w:t>
      </w:r>
      <w:r w:rsidR="000A0FD7" w:rsidRPr="001F2624">
        <w:rPr>
          <w:rFonts w:asciiTheme="majorBidi" w:hAnsiTheme="majorBidi" w:cstheme="majorBidi"/>
        </w:rPr>
        <w:t xml:space="preserve"> learning and according to Zimmerman and Schunk (2011</w:t>
      </w:r>
      <w:r w:rsidR="00E94171" w:rsidRPr="001F2624">
        <w:rPr>
          <w:rFonts w:asciiTheme="majorBidi" w:hAnsiTheme="majorBidi" w:cstheme="majorBidi"/>
        </w:rPr>
        <w:t>), this capacity grows in a learning environment where we scaffold students to have a better understanding of their thinking processes so they can better regulate them by being metacognitive. Vandergrift and Tafaghodtari (2010) considered skilled L2 listeners in a range of studies and reported them as not only using more metacognitive strategies than the less skilled listeners, but also being able to orchestrate the strategies in continuous metacognitive cycles. Oxford (2017), also, points out metacognitive strategies as a substantial component of self-regulation in L.C.</w:t>
      </w:r>
    </w:p>
    <w:p w14:paraId="11CC242B" w14:textId="77777777" w:rsidR="00433622" w:rsidRPr="003973ED" w:rsidRDefault="00E26C33"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In the field of metacognitiv</w:t>
      </w:r>
      <w:r w:rsidR="00A52E85" w:rsidRPr="001F2624">
        <w:rPr>
          <w:rFonts w:asciiTheme="majorBidi" w:hAnsiTheme="majorBidi" w:cstheme="majorBidi"/>
        </w:rPr>
        <w:t>e instruction of</w:t>
      </w:r>
      <w:r w:rsidR="009C69A0" w:rsidRPr="001F2624">
        <w:rPr>
          <w:rFonts w:asciiTheme="majorBidi" w:hAnsiTheme="majorBidi" w:cstheme="majorBidi"/>
        </w:rPr>
        <w:t xml:space="preserve"> L.C.</w:t>
      </w:r>
      <w:r w:rsidRPr="001F2624">
        <w:rPr>
          <w:rFonts w:asciiTheme="majorBidi" w:hAnsiTheme="majorBidi" w:cstheme="majorBidi"/>
        </w:rPr>
        <w:t>, apart from the majority of literature which is on explicit inst</w:t>
      </w:r>
      <w:r w:rsidR="00A65DF7">
        <w:rPr>
          <w:rFonts w:asciiTheme="majorBidi" w:hAnsiTheme="majorBidi" w:cstheme="majorBidi"/>
        </w:rPr>
        <w:t xml:space="preserve">ruction of the strategies where </w:t>
      </w:r>
      <w:r w:rsidRPr="001F2624">
        <w:rPr>
          <w:rFonts w:asciiTheme="majorBidi" w:hAnsiTheme="majorBidi" w:cstheme="majorBidi"/>
        </w:rPr>
        <w:t xml:space="preserve">some </w:t>
      </w:r>
      <w:r w:rsidR="00A65DF7">
        <w:rPr>
          <w:rFonts w:asciiTheme="majorBidi" w:hAnsiTheme="majorBidi" w:cstheme="majorBidi"/>
        </w:rPr>
        <w:t xml:space="preserve">studies </w:t>
      </w:r>
      <w:r w:rsidRPr="001F2624">
        <w:rPr>
          <w:rFonts w:asciiTheme="majorBidi" w:hAnsiTheme="majorBidi" w:cstheme="majorBidi"/>
        </w:rPr>
        <w:t>have reported substantial succ</w:t>
      </w:r>
      <w:r w:rsidR="00446948" w:rsidRPr="001F2624">
        <w:rPr>
          <w:rFonts w:asciiTheme="majorBidi" w:hAnsiTheme="majorBidi" w:cstheme="majorBidi"/>
        </w:rPr>
        <w:t>ess (e.g. Graham &amp;</w:t>
      </w:r>
      <w:r w:rsidR="00A65DF7">
        <w:rPr>
          <w:rFonts w:asciiTheme="majorBidi" w:hAnsiTheme="majorBidi" w:cstheme="majorBidi"/>
        </w:rPr>
        <w:t xml:space="preserve"> </w:t>
      </w:r>
      <w:r w:rsidR="00446948" w:rsidRPr="001F2624">
        <w:rPr>
          <w:rFonts w:asciiTheme="majorBidi" w:hAnsiTheme="majorBidi" w:cstheme="majorBidi"/>
        </w:rPr>
        <w:t>Macaro, 2008;</w:t>
      </w:r>
      <w:r w:rsidR="00B026CD" w:rsidRPr="001F2624">
        <w:rPr>
          <w:rFonts w:asciiTheme="majorBidi" w:hAnsiTheme="majorBidi" w:cstheme="majorBidi"/>
        </w:rPr>
        <w:t xml:space="preserve"> Graham, et al.</w:t>
      </w:r>
      <w:r w:rsidR="00DC4CA8" w:rsidRPr="001F2624">
        <w:rPr>
          <w:rFonts w:asciiTheme="majorBidi" w:hAnsiTheme="majorBidi" w:cstheme="majorBidi"/>
        </w:rPr>
        <w:t>,</w:t>
      </w:r>
      <w:r w:rsidR="00A65DF7">
        <w:rPr>
          <w:rFonts w:asciiTheme="majorBidi" w:hAnsiTheme="majorBidi" w:cstheme="majorBidi"/>
        </w:rPr>
        <w:t xml:space="preserve"> 2011),</w:t>
      </w:r>
      <w:r w:rsidRPr="001F2624">
        <w:rPr>
          <w:rFonts w:asciiTheme="majorBidi" w:hAnsiTheme="majorBidi" w:cstheme="majorBidi"/>
        </w:rPr>
        <w:t xml:space="preserve"> the need for having an optimal structured support to make the implicit processes explicit </w:t>
      </w:r>
      <w:r w:rsidR="00A65DF7">
        <w:rPr>
          <w:rFonts w:asciiTheme="majorBidi" w:hAnsiTheme="majorBidi" w:cstheme="majorBidi"/>
        </w:rPr>
        <w:t>is felt. T</w:t>
      </w:r>
      <w:r w:rsidRPr="001F2624">
        <w:rPr>
          <w:rFonts w:asciiTheme="majorBidi" w:hAnsiTheme="majorBidi" w:cstheme="majorBidi"/>
        </w:rPr>
        <w:t>o define the necessary sub-skills nee</w:t>
      </w:r>
      <w:r w:rsidR="00433622" w:rsidRPr="001F2624">
        <w:rPr>
          <w:rFonts w:asciiTheme="majorBidi" w:hAnsiTheme="majorBidi" w:cstheme="majorBidi"/>
        </w:rPr>
        <w:t>de</w:t>
      </w:r>
      <w:r w:rsidR="00A65DF7">
        <w:rPr>
          <w:rFonts w:asciiTheme="majorBidi" w:hAnsiTheme="majorBidi" w:cstheme="majorBidi"/>
        </w:rPr>
        <w:t>d for a successful listening,</w:t>
      </w:r>
      <w:r w:rsidR="00433622" w:rsidRPr="001F2624">
        <w:rPr>
          <w:rFonts w:asciiTheme="majorBidi" w:hAnsiTheme="majorBidi" w:cstheme="majorBidi"/>
        </w:rPr>
        <w:t xml:space="preserve"> Vandergrift (2004) and Goh (2010) are among those who proposed models of metacognitive listening instruction in a holistic manner by focusing on learner’s ability to facilitate their own listening when exposed to aural data so that systematic support is provided for the learners.</w:t>
      </w:r>
    </w:p>
    <w:p w14:paraId="5F944E26" w14:textId="77777777" w:rsidR="00773293" w:rsidRPr="001F2624" w:rsidRDefault="00E26C33"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lastRenderedPageBreak/>
        <w:t>Although there is a 30-year foundation of research on l</w:t>
      </w:r>
      <w:r w:rsidR="000A0FD7" w:rsidRPr="001F2624">
        <w:rPr>
          <w:rFonts w:asciiTheme="majorBidi" w:hAnsiTheme="majorBidi" w:cstheme="majorBidi"/>
        </w:rPr>
        <w:t>earning strategies (Oxford, 2017</w:t>
      </w:r>
      <w:r w:rsidRPr="001F2624">
        <w:rPr>
          <w:rFonts w:asciiTheme="majorBidi" w:hAnsiTheme="majorBidi" w:cstheme="majorBidi"/>
        </w:rPr>
        <w:t>), and many studies have confirmed the importance</w:t>
      </w:r>
      <w:r w:rsidR="000A0FD7" w:rsidRPr="001F2624">
        <w:rPr>
          <w:rFonts w:asciiTheme="majorBidi" w:hAnsiTheme="majorBidi" w:cstheme="majorBidi"/>
        </w:rPr>
        <w:t xml:space="preserve"> of strategy training (e.g. </w:t>
      </w:r>
      <w:r w:rsidRPr="001F2624">
        <w:rPr>
          <w:rFonts w:asciiTheme="majorBidi" w:hAnsiTheme="majorBidi" w:cstheme="majorBidi"/>
        </w:rPr>
        <w:t>Hassan, Macaro, Mason, Nye, Smith &amp;</w:t>
      </w:r>
      <w:r w:rsidR="00A65DF7">
        <w:rPr>
          <w:rFonts w:asciiTheme="majorBidi" w:hAnsiTheme="majorBidi" w:cstheme="majorBidi"/>
        </w:rPr>
        <w:t xml:space="preserve"> </w:t>
      </w:r>
      <w:r w:rsidR="00B026CD" w:rsidRPr="001F2624">
        <w:rPr>
          <w:rFonts w:asciiTheme="majorBidi" w:hAnsiTheme="majorBidi" w:cstheme="majorBidi"/>
        </w:rPr>
        <w:t>Vanderplank</w:t>
      </w:r>
      <w:r w:rsidR="000A0FD7" w:rsidRPr="001F2624">
        <w:rPr>
          <w:rFonts w:asciiTheme="majorBidi" w:hAnsiTheme="majorBidi" w:cstheme="majorBidi"/>
        </w:rPr>
        <w:t>, 2005; Oxford, 2017</w:t>
      </w:r>
      <w:r w:rsidRPr="001F2624">
        <w:rPr>
          <w:rFonts w:asciiTheme="majorBidi" w:hAnsiTheme="majorBidi" w:cstheme="majorBidi"/>
        </w:rPr>
        <w:t>)</w:t>
      </w:r>
      <w:r w:rsidR="00A65DF7">
        <w:rPr>
          <w:rFonts w:asciiTheme="majorBidi" w:hAnsiTheme="majorBidi" w:cstheme="majorBidi"/>
        </w:rPr>
        <w:t>,</w:t>
      </w:r>
      <w:r w:rsidRPr="001F2624">
        <w:rPr>
          <w:rFonts w:asciiTheme="majorBidi" w:hAnsiTheme="majorBidi" w:cstheme="majorBidi"/>
        </w:rPr>
        <w:t xml:space="preserve"> and L.C. strategy instruction research has been revolutionized through recent endeavors on metacognitive strategy instruction (Goh, 200</w:t>
      </w:r>
      <w:r w:rsidR="00433622" w:rsidRPr="001F2624">
        <w:rPr>
          <w:rFonts w:asciiTheme="majorBidi" w:hAnsiTheme="majorBidi" w:cstheme="majorBidi"/>
        </w:rPr>
        <w:t>8, 2010</w:t>
      </w:r>
      <w:r w:rsidRPr="001F2624">
        <w:rPr>
          <w:rFonts w:asciiTheme="majorBidi" w:hAnsiTheme="majorBidi" w:cstheme="majorBidi"/>
        </w:rPr>
        <w:t>; Vandergrift, 2004, Vandergrift &amp; Goh, 2012; Vandergri</w:t>
      </w:r>
      <w:r w:rsidR="000A0FD7" w:rsidRPr="001F2624">
        <w:rPr>
          <w:rFonts w:asciiTheme="majorBidi" w:hAnsiTheme="majorBidi" w:cstheme="majorBidi"/>
        </w:rPr>
        <w:t>ft &amp;Tafaghodtari, 2010</w:t>
      </w:r>
      <w:r w:rsidRPr="001F2624">
        <w:rPr>
          <w:rFonts w:asciiTheme="majorBidi" w:hAnsiTheme="majorBidi" w:cstheme="majorBidi"/>
        </w:rPr>
        <w:t>), very little has been done to compare the efficacy of met</w:t>
      </w:r>
      <w:r w:rsidR="00E13A88" w:rsidRPr="001F2624">
        <w:rPr>
          <w:rFonts w:asciiTheme="majorBidi" w:hAnsiTheme="majorBidi" w:cstheme="majorBidi"/>
        </w:rPr>
        <w:t xml:space="preserve">acognitive instructional models. </w:t>
      </w:r>
      <w:r w:rsidR="00790637" w:rsidRPr="001F2624">
        <w:rPr>
          <w:rFonts w:asciiTheme="majorBidi" w:hAnsiTheme="majorBidi" w:cstheme="majorBidi"/>
        </w:rPr>
        <w:t xml:space="preserve">To this end, the present paper </w:t>
      </w:r>
      <w:r w:rsidRPr="001F2624">
        <w:rPr>
          <w:rFonts w:asciiTheme="majorBidi" w:hAnsiTheme="majorBidi" w:cstheme="majorBidi"/>
        </w:rPr>
        <w:t>aimed to fill the gap by experimentally</w:t>
      </w:r>
      <w:r w:rsidR="00433622" w:rsidRPr="001F2624">
        <w:rPr>
          <w:rFonts w:asciiTheme="majorBidi" w:hAnsiTheme="majorBidi" w:cstheme="majorBidi"/>
        </w:rPr>
        <w:t xml:space="preserve"> comparing the efficacy of two models</w:t>
      </w:r>
      <w:r w:rsidRPr="001F2624">
        <w:rPr>
          <w:rFonts w:asciiTheme="majorBidi" w:hAnsiTheme="majorBidi" w:cstheme="majorBidi"/>
        </w:rPr>
        <w:t xml:space="preserve"> of metacognitive strategy instruction in inducing self-regulation in </w:t>
      </w:r>
      <w:r w:rsidR="009C69A0" w:rsidRPr="001F2624">
        <w:rPr>
          <w:rFonts w:asciiTheme="majorBidi" w:hAnsiTheme="majorBidi" w:cstheme="majorBidi"/>
        </w:rPr>
        <w:t>L.C.</w:t>
      </w:r>
      <w:r w:rsidR="00EE5804" w:rsidRPr="001F2624">
        <w:rPr>
          <w:rFonts w:asciiTheme="majorBidi" w:hAnsiTheme="majorBidi" w:cstheme="majorBidi"/>
        </w:rPr>
        <w:t xml:space="preserve"> </w:t>
      </w:r>
      <w:r w:rsidR="00142372" w:rsidRPr="001F2624">
        <w:rPr>
          <w:rFonts w:asciiTheme="majorBidi" w:hAnsiTheme="majorBidi" w:cstheme="majorBidi"/>
        </w:rPr>
        <w:t>among Iranian EFL learners.</w:t>
      </w:r>
      <w:r w:rsidR="00773293">
        <w:rPr>
          <w:rFonts w:asciiTheme="majorBidi" w:hAnsiTheme="majorBidi" w:cstheme="majorBidi"/>
        </w:rPr>
        <w:t xml:space="preserve"> </w:t>
      </w:r>
      <w:r w:rsidR="00773293" w:rsidRPr="001F2624">
        <w:rPr>
          <w:rFonts w:asciiTheme="majorBidi" w:hAnsiTheme="majorBidi" w:cstheme="majorBidi"/>
        </w:rPr>
        <w:t>In so doing the following research questions were proposed:</w:t>
      </w:r>
    </w:p>
    <w:p w14:paraId="5787016A" w14:textId="77777777" w:rsidR="00773293" w:rsidRPr="001F2624" w:rsidRDefault="00773293" w:rsidP="00773293">
      <w:pPr>
        <w:pStyle w:val="ListParagraph"/>
        <w:numPr>
          <w:ilvl w:val="0"/>
          <w:numId w:val="1"/>
        </w:numPr>
        <w:spacing w:after="120" w:line="240" w:lineRule="auto"/>
        <w:jc w:val="both"/>
        <w:rPr>
          <w:rFonts w:asciiTheme="majorBidi" w:hAnsiTheme="majorBidi" w:cstheme="majorBidi"/>
        </w:rPr>
      </w:pPr>
      <w:r w:rsidRPr="001F2624">
        <w:rPr>
          <w:rFonts w:asciiTheme="majorBidi" w:hAnsiTheme="majorBidi" w:cstheme="majorBidi"/>
        </w:rPr>
        <w:t>Is there a significant difference between strategy-nonintegrated and strategy-embedded task-based metacognitive strategy instruction in inducing self-regulation in L.C. in Iranian EFL learners?</w:t>
      </w:r>
    </w:p>
    <w:p w14:paraId="714E11C7" w14:textId="77777777" w:rsidR="00773293" w:rsidRPr="001F2624" w:rsidRDefault="00773293" w:rsidP="00773293">
      <w:pPr>
        <w:pStyle w:val="ListParagraph"/>
        <w:numPr>
          <w:ilvl w:val="0"/>
          <w:numId w:val="1"/>
        </w:numPr>
        <w:spacing w:after="120" w:line="240" w:lineRule="auto"/>
        <w:jc w:val="both"/>
        <w:rPr>
          <w:rFonts w:asciiTheme="majorBidi" w:hAnsiTheme="majorBidi" w:cstheme="majorBidi"/>
        </w:rPr>
      </w:pPr>
      <w:r w:rsidRPr="001F2624">
        <w:rPr>
          <w:rFonts w:asciiTheme="majorBidi" w:hAnsiTheme="majorBidi" w:cstheme="majorBidi"/>
        </w:rPr>
        <w:t>Is there a significant difference between strategy-nonintegrated and strategy-embedded task-based metacognitive strategy instruction in improving L.C. performance of Iranian EFL learners?</w:t>
      </w:r>
    </w:p>
    <w:p w14:paraId="5B0CEA11" w14:textId="77777777" w:rsidR="00773293" w:rsidRPr="001F2624" w:rsidRDefault="00773293" w:rsidP="00773293">
      <w:pPr>
        <w:pStyle w:val="ListParagraph"/>
        <w:numPr>
          <w:ilvl w:val="0"/>
          <w:numId w:val="1"/>
        </w:numPr>
        <w:spacing w:after="120" w:line="240" w:lineRule="auto"/>
        <w:jc w:val="both"/>
        <w:rPr>
          <w:rFonts w:asciiTheme="majorBidi" w:hAnsiTheme="majorBidi" w:cstheme="majorBidi"/>
        </w:rPr>
      </w:pPr>
      <w:r w:rsidRPr="001F2624">
        <w:rPr>
          <w:rFonts w:asciiTheme="majorBidi" w:hAnsiTheme="majorBidi" w:cstheme="majorBidi"/>
        </w:rPr>
        <w:t>The instruction of which metacognitive strategy instruction model, strategy-nonintegrated and strategy-embedded task-based metacognitive strategy instruction, better helps Iranian EFL learners in transferring their metacognitive knowledge when taking a L.C. transfer test?</w:t>
      </w:r>
    </w:p>
    <w:p w14:paraId="197C61E0" w14:textId="77777777" w:rsidR="00142372" w:rsidRDefault="00773293" w:rsidP="0019078C">
      <w:pPr>
        <w:spacing w:after="120" w:line="240" w:lineRule="auto"/>
        <w:jc w:val="both"/>
        <w:rPr>
          <w:rFonts w:asciiTheme="majorBidi" w:hAnsiTheme="majorBidi" w:cstheme="majorBidi"/>
          <w:b/>
          <w:bCs/>
        </w:rPr>
      </w:pPr>
      <w:r>
        <w:rPr>
          <w:rFonts w:asciiTheme="majorBidi" w:hAnsiTheme="majorBidi" w:cstheme="majorBidi"/>
          <w:b/>
          <w:bCs/>
        </w:rPr>
        <w:t>3. Methodology</w:t>
      </w:r>
    </w:p>
    <w:p w14:paraId="53C37DBB" w14:textId="77777777" w:rsidR="00773293" w:rsidRPr="00773293" w:rsidRDefault="00773293" w:rsidP="00773293">
      <w:pPr>
        <w:autoSpaceDE w:val="0"/>
        <w:autoSpaceDN w:val="0"/>
        <w:adjustRightInd w:val="0"/>
        <w:spacing w:after="120" w:line="240" w:lineRule="auto"/>
        <w:jc w:val="both"/>
        <w:rPr>
          <w:rFonts w:asciiTheme="majorBidi" w:hAnsiTheme="majorBidi" w:cstheme="majorBidi"/>
          <w:i/>
          <w:iCs/>
        </w:rPr>
      </w:pPr>
      <w:r w:rsidRPr="00773293">
        <w:rPr>
          <w:rFonts w:asciiTheme="majorBidi" w:hAnsiTheme="majorBidi" w:cstheme="majorBidi"/>
          <w:i/>
          <w:iCs/>
        </w:rPr>
        <w:t>3.1. Participants</w:t>
      </w:r>
    </w:p>
    <w:p w14:paraId="0DBB40FC" w14:textId="77777777" w:rsidR="00142372" w:rsidRPr="001F2624" w:rsidRDefault="009B433F"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Sixty-three</w:t>
      </w:r>
      <w:r w:rsidR="00142372" w:rsidRPr="001F2624">
        <w:rPr>
          <w:rFonts w:asciiTheme="majorBidi" w:hAnsiTheme="majorBidi" w:cstheme="majorBidi"/>
        </w:rPr>
        <w:t xml:space="preserve"> EFL learners (29 females and 34 males), studying general English at different institutes in Isfahan participated in this study. They were all Iranian native Persian speakers and ranged in age from 22 to 38, with two 49 and </w:t>
      </w:r>
      <w:r w:rsidRPr="001F2624">
        <w:rPr>
          <w:rFonts w:asciiTheme="majorBidi" w:hAnsiTheme="majorBidi" w:cstheme="majorBidi"/>
        </w:rPr>
        <w:t>50-year-old</w:t>
      </w:r>
      <w:r w:rsidR="00142372" w:rsidRPr="001F2624">
        <w:rPr>
          <w:rFonts w:asciiTheme="majorBidi" w:hAnsiTheme="majorBidi" w:cstheme="majorBidi"/>
        </w:rPr>
        <w:t xml:space="preserve"> outliers. They were chosen and grouped using true </w:t>
      </w:r>
      <w:r w:rsidR="00A65DF7">
        <w:rPr>
          <w:rFonts w:asciiTheme="majorBidi" w:hAnsiTheme="majorBidi" w:cstheme="majorBidi"/>
        </w:rPr>
        <w:t xml:space="preserve">random </w:t>
      </w:r>
      <w:r w:rsidR="00142372" w:rsidRPr="001F2624">
        <w:rPr>
          <w:rFonts w:asciiTheme="majorBidi" w:hAnsiTheme="majorBidi" w:cstheme="majorBidi"/>
        </w:rPr>
        <w:t xml:space="preserve">sampling method out of a pool of one hundred </w:t>
      </w:r>
      <w:r w:rsidRPr="001F2624">
        <w:rPr>
          <w:rFonts w:asciiTheme="majorBidi" w:hAnsiTheme="majorBidi" w:cstheme="majorBidi"/>
        </w:rPr>
        <w:t>seventy-two</w:t>
      </w:r>
      <w:r w:rsidR="00142372" w:rsidRPr="001F2624">
        <w:rPr>
          <w:rFonts w:asciiTheme="majorBidi" w:hAnsiTheme="majorBidi" w:cstheme="majorBidi"/>
        </w:rPr>
        <w:t xml:space="preserve"> volunteers who registered to take part in the study and took Oxford Placement Test (OPT). one hundred eighteen participants whose OPT scores were 1 standard deviation (S.D. = 8.6) below and above the mean (M = 128.47) </w:t>
      </w:r>
      <w:r w:rsidR="00A236BA" w:rsidRPr="001F2624">
        <w:rPr>
          <w:rFonts w:asciiTheme="majorBidi" w:hAnsiTheme="majorBidi" w:cstheme="majorBidi"/>
        </w:rPr>
        <w:t xml:space="preserve">and </w:t>
      </w:r>
      <w:r w:rsidR="00142372" w:rsidRPr="001F2624">
        <w:rPr>
          <w:rFonts w:asciiTheme="majorBidi" w:hAnsiTheme="majorBidi" w:cstheme="majorBidi"/>
        </w:rPr>
        <w:t>were lower intermediate (B1) (Scoring 120-134) English learners, were contacted through email and their cell phones and the 103 legible volunteers who responded back were r</w:t>
      </w:r>
      <w:r w:rsidR="00A236BA" w:rsidRPr="001F2624">
        <w:rPr>
          <w:rFonts w:asciiTheme="majorBidi" w:hAnsiTheme="majorBidi" w:cstheme="majorBidi"/>
        </w:rPr>
        <w:t xml:space="preserve">andomly divided into 4 groups. </w:t>
      </w:r>
      <w:r w:rsidR="00142372" w:rsidRPr="001F2624">
        <w:rPr>
          <w:rFonts w:asciiTheme="majorBidi" w:hAnsiTheme="majorBidi" w:cstheme="majorBidi"/>
        </w:rPr>
        <w:t>The class time and the available branch of Academic Center of Education Culture and Research in Isfahan was announced to each</w:t>
      </w:r>
      <w:r w:rsidR="00A236BA" w:rsidRPr="001F2624">
        <w:rPr>
          <w:rFonts w:asciiTheme="majorBidi" w:hAnsiTheme="majorBidi" w:cstheme="majorBidi"/>
        </w:rPr>
        <w:t xml:space="preserve"> group and based on the participants’ voting for the best possible time in each group</w:t>
      </w:r>
      <w:r w:rsidR="00142372" w:rsidRPr="001F2624">
        <w:rPr>
          <w:rFonts w:asciiTheme="majorBidi" w:hAnsiTheme="majorBidi" w:cstheme="majorBidi"/>
        </w:rPr>
        <w:t>, the researchers formed Experimental Group 1 (EG1) (N = 17), Experimental Group 2 (EG2) (N = 16), Active Control Group (ACG) (N = 14), and Passive Control Group (PCG) (N = 16). None of the participants knew which group they were in; they just knew that they were taking part i</w:t>
      </w:r>
      <w:r w:rsidR="00A65DF7">
        <w:rPr>
          <w:rFonts w:asciiTheme="majorBidi" w:hAnsiTheme="majorBidi" w:cstheme="majorBidi"/>
        </w:rPr>
        <w:t>n an experimental study on L.C.</w:t>
      </w:r>
    </w:p>
    <w:p w14:paraId="63B8B30D" w14:textId="77777777" w:rsidR="00142372" w:rsidRPr="00773293" w:rsidRDefault="00773293" w:rsidP="00773293">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 xml:space="preserve">3.2. </w:t>
      </w:r>
      <w:r w:rsidR="00142372" w:rsidRPr="00773293">
        <w:rPr>
          <w:rFonts w:asciiTheme="majorBidi" w:hAnsiTheme="majorBidi" w:cstheme="majorBidi"/>
          <w:i/>
          <w:iCs/>
        </w:rPr>
        <w:t>Instruments</w:t>
      </w:r>
    </w:p>
    <w:p w14:paraId="3FB9D9B5" w14:textId="77777777" w:rsidR="00142372" w:rsidRPr="001F2624" w:rsidRDefault="00142372" w:rsidP="0019078C">
      <w:pPr>
        <w:spacing w:after="120" w:line="240" w:lineRule="auto"/>
        <w:jc w:val="both"/>
        <w:rPr>
          <w:rFonts w:asciiTheme="majorBidi" w:hAnsiTheme="majorBidi" w:cstheme="majorBidi"/>
        </w:rPr>
      </w:pPr>
      <w:r w:rsidRPr="001F2624">
        <w:rPr>
          <w:rFonts w:asciiTheme="majorBidi" w:hAnsiTheme="majorBidi" w:cstheme="majorBidi"/>
        </w:rPr>
        <w:t>Data for this study was obtained using the following scales:</w:t>
      </w:r>
    </w:p>
    <w:p w14:paraId="57E1C261" w14:textId="77777777" w:rsidR="00142372" w:rsidRPr="001F2624" w:rsidRDefault="00142372" w:rsidP="00773293">
      <w:pPr>
        <w:spacing w:after="120" w:line="240" w:lineRule="auto"/>
        <w:jc w:val="both"/>
        <w:rPr>
          <w:rFonts w:asciiTheme="majorBidi" w:hAnsiTheme="majorBidi" w:cstheme="majorBidi"/>
          <w:i/>
          <w:iCs/>
        </w:rPr>
      </w:pPr>
      <w:r w:rsidRPr="001F2624">
        <w:rPr>
          <w:rFonts w:asciiTheme="majorBidi" w:hAnsiTheme="majorBidi" w:cstheme="majorBidi"/>
          <w:i/>
          <w:iCs/>
        </w:rPr>
        <w:t>Oxford Placement Test (OPT)</w:t>
      </w:r>
    </w:p>
    <w:p w14:paraId="0AEAE3F9"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Developed and standardized in 2004, OPT was used to select the participants who display similar levels of listening proficiency to start the research with. OPT is calib</w:t>
      </w:r>
      <w:r w:rsidR="008957A0">
        <w:rPr>
          <w:rFonts w:asciiTheme="majorBidi" w:hAnsiTheme="majorBidi" w:cstheme="majorBidi"/>
        </w:rPr>
        <w:t>rated against IELTS and TOEFL and</w:t>
      </w:r>
      <w:r w:rsidRPr="001F2624">
        <w:rPr>
          <w:rFonts w:asciiTheme="majorBidi" w:hAnsiTheme="majorBidi" w:cstheme="majorBidi"/>
        </w:rPr>
        <w:t xml:space="preserve"> can provide a reliable source of information based on language performance of the test takers. OPT comes in two parts: Use of English and Listening. Each part consists of 100 questions and the test takers are leveled in each of 0-9 OPT bands based on what they score out of 200. The researchers found Cronbach’s alpha of .94 for internal consistency of the scores and reliability index of .95 was obtained using Intra</w:t>
      </w:r>
      <w:r w:rsidR="00773293">
        <w:rPr>
          <w:rFonts w:asciiTheme="majorBidi" w:hAnsiTheme="majorBidi" w:cstheme="majorBidi"/>
        </w:rPr>
        <w:t>-</w:t>
      </w:r>
      <w:r w:rsidRPr="001F2624">
        <w:rPr>
          <w:rFonts w:asciiTheme="majorBidi" w:hAnsiTheme="majorBidi" w:cstheme="majorBidi"/>
        </w:rPr>
        <w:t>class Correlation Coefficient.</w:t>
      </w:r>
    </w:p>
    <w:p w14:paraId="70388E09" w14:textId="77777777" w:rsidR="00142372" w:rsidRPr="001F2624" w:rsidRDefault="00142372" w:rsidP="00773293">
      <w:pPr>
        <w:spacing w:after="120" w:line="240" w:lineRule="auto"/>
        <w:jc w:val="both"/>
        <w:rPr>
          <w:rFonts w:asciiTheme="majorBidi" w:hAnsiTheme="majorBidi" w:cstheme="majorBidi"/>
          <w:i/>
          <w:iCs/>
        </w:rPr>
      </w:pPr>
      <w:r w:rsidRPr="001F2624">
        <w:rPr>
          <w:rFonts w:asciiTheme="majorBidi" w:hAnsiTheme="majorBidi" w:cstheme="majorBidi"/>
          <w:i/>
          <w:iCs/>
        </w:rPr>
        <w:t>Preliminary English Test (PET), listening section</w:t>
      </w:r>
    </w:p>
    <w:p w14:paraId="44ADF385"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lastRenderedPageBreak/>
        <w:t xml:space="preserve">The listening section of Preliminary English Test (PET) was used as L.C. pre- and </w:t>
      </w:r>
      <w:r w:rsidR="009B433F" w:rsidRPr="001F2624">
        <w:rPr>
          <w:rFonts w:asciiTheme="majorBidi" w:hAnsiTheme="majorBidi" w:cstheme="majorBidi"/>
        </w:rPr>
        <w:t>post-test</w:t>
      </w:r>
      <w:r w:rsidR="009B433F">
        <w:rPr>
          <w:rFonts w:asciiTheme="majorBidi" w:hAnsiTheme="majorBidi" w:cstheme="majorBidi"/>
        </w:rPr>
        <w:t>s</w:t>
      </w:r>
      <w:r w:rsidRPr="001F2624">
        <w:rPr>
          <w:rFonts w:asciiTheme="majorBidi" w:hAnsiTheme="majorBidi" w:cstheme="majorBidi"/>
        </w:rPr>
        <w:t xml:space="preserve"> of this study. It consists of 25 L.C. questions arranged in 4 parts. Cronbach’s alpha reported on the internal consistency of PET scores was .86 and thus they were highly reliable.</w:t>
      </w:r>
    </w:p>
    <w:p w14:paraId="6063FFB8" w14:textId="77777777" w:rsidR="00142372" w:rsidRPr="001F2624" w:rsidRDefault="00142372" w:rsidP="00773293">
      <w:pPr>
        <w:spacing w:after="120" w:line="240" w:lineRule="auto"/>
        <w:jc w:val="both"/>
        <w:rPr>
          <w:rFonts w:asciiTheme="majorBidi" w:hAnsiTheme="majorBidi" w:cstheme="majorBidi"/>
          <w:i/>
          <w:iCs/>
        </w:rPr>
      </w:pPr>
      <w:r w:rsidRPr="001F2624">
        <w:rPr>
          <w:rFonts w:asciiTheme="majorBidi" w:hAnsiTheme="majorBidi" w:cstheme="majorBidi"/>
          <w:i/>
          <w:iCs/>
        </w:rPr>
        <w:t>First Certificate in English (FCE), listening section</w:t>
      </w:r>
    </w:p>
    <w:p w14:paraId="77561DD7" w14:textId="77777777" w:rsidR="00142372" w:rsidRPr="001F2624" w:rsidRDefault="000A0FD7"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Vandergrift and Goh, (2012</w:t>
      </w:r>
      <w:r w:rsidR="00142372" w:rsidRPr="001F2624">
        <w:rPr>
          <w:rFonts w:asciiTheme="majorBidi" w:hAnsiTheme="majorBidi" w:cstheme="majorBidi"/>
        </w:rPr>
        <w:t xml:space="preserve">) reports L.C. performance as subject to multivariate fluctuations and thus calls for caution when reporting test result. </w:t>
      </w:r>
      <w:r w:rsidR="009B433F" w:rsidRPr="001F2624">
        <w:rPr>
          <w:rFonts w:asciiTheme="majorBidi" w:hAnsiTheme="majorBidi" w:cstheme="majorBidi"/>
        </w:rPr>
        <w:t>Thus,</w:t>
      </w:r>
      <w:r w:rsidR="00142372" w:rsidRPr="001F2624">
        <w:rPr>
          <w:rFonts w:asciiTheme="majorBidi" w:hAnsiTheme="majorBidi" w:cstheme="majorBidi"/>
        </w:rPr>
        <w:t xml:space="preserve"> the results on listening section of FCE pretest were used to check for possible placement errors and the information on the post test was used to assess participants’ performance on transfer test. Listening section of FCE, which suits OPT band 5, has 30 questions that come in 4 parts.</w:t>
      </w:r>
    </w:p>
    <w:p w14:paraId="3DC3C5CE" w14:textId="77777777" w:rsidR="00142372" w:rsidRPr="001F2624" w:rsidRDefault="00142372" w:rsidP="00773293">
      <w:pPr>
        <w:spacing w:after="120" w:line="240" w:lineRule="auto"/>
        <w:jc w:val="both"/>
        <w:rPr>
          <w:rFonts w:asciiTheme="majorBidi" w:hAnsiTheme="majorBidi" w:cstheme="majorBidi"/>
          <w:i/>
          <w:iCs/>
        </w:rPr>
      </w:pPr>
      <w:r w:rsidRPr="001F2624">
        <w:rPr>
          <w:rFonts w:asciiTheme="majorBidi" w:hAnsiTheme="majorBidi" w:cstheme="majorBidi"/>
          <w:i/>
          <w:iCs/>
        </w:rPr>
        <w:t>Motivated Strategies for Learning Questionnaire (MSLQ)</w:t>
      </w:r>
    </w:p>
    <w:p w14:paraId="1A883DB0"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MSLQ is an 81-item questionnaire that evaluates learners’ motivational beliefs and their learning strategies (Pintrich, Smith, Garcia &amp;</w:t>
      </w:r>
      <w:r w:rsidR="00273D9C">
        <w:rPr>
          <w:rFonts w:asciiTheme="majorBidi" w:hAnsiTheme="majorBidi" w:cstheme="majorBidi"/>
        </w:rPr>
        <w:t xml:space="preserve"> </w:t>
      </w:r>
      <w:r w:rsidRPr="001F2624">
        <w:rPr>
          <w:rFonts w:asciiTheme="majorBidi" w:hAnsiTheme="majorBidi" w:cstheme="majorBidi"/>
        </w:rPr>
        <w:t xml:space="preserve">McKeachie, 1991). They reported an internal consistency of .62 for learning strategies scales and .68 for the motivation scale. As Pintrich and De Groot (1990) declare self-efficacy, intrinsic value, and test anxiety, self-regulation, and cognitive strategy use subscales sum up as a good scale for self-regulated learning, so the subscales were used to measure the participants’ self-regulation in </w:t>
      </w:r>
      <w:r w:rsidR="009B433F" w:rsidRPr="001F2624">
        <w:rPr>
          <w:rFonts w:asciiTheme="majorBidi" w:hAnsiTheme="majorBidi" w:cstheme="majorBidi"/>
        </w:rPr>
        <w:t>L.C.</w:t>
      </w:r>
    </w:p>
    <w:p w14:paraId="77B35835" w14:textId="77777777" w:rsidR="00142372" w:rsidRPr="001F2624" w:rsidRDefault="00142372" w:rsidP="00773293">
      <w:pPr>
        <w:spacing w:after="120" w:line="240" w:lineRule="auto"/>
        <w:jc w:val="both"/>
        <w:rPr>
          <w:rFonts w:asciiTheme="majorBidi" w:hAnsiTheme="majorBidi" w:cstheme="majorBidi"/>
          <w:i/>
          <w:iCs/>
        </w:rPr>
      </w:pPr>
      <w:r w:rsidRPr="001F2624">
        <w:rPr>
          <w:rFonts w:asciiTheme="majorBidi" w:hAnsiTheme="majorBidi" w:cstheme="majorBidi"/>
          <w:i/>
          <w:iCs/>
        </w:rPr>
        <w:t>Exhaustive list of metacognitive strategies</w:t>
      </w:r>
    </w:p>
    <w:p w14:paraId="364BF033"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Reviewing the literature (Chamot, </w:t>
      </w:r>
      <w:r w:rsidRPr="003973ED">
        <w:rPr>
          <w:rFonts w:asciiTheme="majorBidi" w:hAnsiTheme="majorBidi" w:cstheme="majorBidi"/>
        </w:rPr>
        <w:t>Barnhardt, El-Dinary</w:t>
      </w:r>
      <w:r w:rsidR="00273D9C" w:rsidRPr="003973ED">
        <w:rPr>
          <w:rFonts w:asciiTheme="majorBidi" w:hAnsiTheme="majorBidi" w:cstheme="majorBidi"/>
        </w:rPr>
        <w:t xml:space="preserve"> </w:t>
      </w:r>
      <w:r w:rsidRPr="003973ED">
        <w:rPr>
          <w:rFonts w:asciiTheme="majorBidi" w:hAnsiTheme="majorBidi" w:cstheme="majorBidi"/>
        </w:rPr>
        <w:t>&amp; Robbins</w:t>
      </w:r>
      <w:r w:rsidRPr="001F2624">
        <w:rPr>
          <w:rFonts w:asciiTheme="majorBidi" w:hAnsiTheme="majorBidi" w:cstheme="majorBidi"/>
        </w:rPr>
        <w:t>, 1999; Goh, 2010; O’Malley &amp;</w:t>
      </w:r>
      <w:r w:rsidR="00273D9C">
        <w:rPr>
          <w:rFonts w:asciiTheme="majorBidi" w:hAnsiTheme="majorBidi" w:cstheme="majorBidi"/>
        </w:rPr>
        <w:t xml:space="preserve"> </w:t>
      </w:r>
      <w:r w:rsidRPr="001F2624">
        <w:rPr>
          <w:rFonts w:asciiTheme="majorBidi" w:hAnsiTheme="majorBidi" w:cstheme="majorBidi"/>
        </w:rPr>
        <w:t>Chamot, 1990; Oxford,</w:t>
      </w:r>
      <w:r w:rsidR="000A0FD7" w:rsidRPr="001F2624">
        <w:rPr>
          <w:rFonts w:asciiTheme="majorBidi" w:hAnsiTheme="majorBidi" w:cstheme="majorBidi"/>
        </w:rPr>
        <w:t xml:space="preserve"> 2017; Vandergrift, </w:t>
      </w:r>
      <w:r w:rsidRPr="001F2624">
        <w:rPr>
          <w:rFonts w:asciiTheme="majorBidi" w:hAnsiTheme="majorBidi" w:cstheme="majorBidi"/>
        </w:rPr>
        <w:t xml:space="preserve">2003) on metacognitive strategy classification and instances of strategies, the following </w:t>
      </w:r>
      <w:r w:rsidR="00273D9C">
        <w:rPr>
          <w:rFonts w:asciiTheme="majorBidi" w:hAnsiTheme="majorBidi" w:cstheme="majorBidi"/>
        </w:rPr>
        <w:t>list was prepared to be taught/</w:t>
      </w:r>
      <w:r w:rsidRPr="001F2624">
        <w:rPr>
          <w:rFonts w:asciiTheme="majorBidi" w:hAnsiTheme="majorBidi" w:cstheme="majorBidi"/>
        </w:rPr>
        <w:t>integrated in the process of teaching in EG1, EG2, and ACG. Each session 3 strategies were either integrated in the class procedure or explicitly taught and focused on, depending on the nature of the implemented model.</w:t>
      </w:r>
    </w:p>
    <w:p w14:paraId="1A4AB39D" w14:textId="77777777" w:rsidR="00142372" w:rsidRPr="001F2624" w:rsidRDefault="00142372" w:rsidP="0019078C">
      <w:pPr>
        <w:pStyle w:val="ListParagraph"/>
        <w:numPr>
          <w:ilvl w:val="0"/>
          <w:numId w:val="3"/>
        </w:numPr>
        <w:spacing w:after="120" w:line="240" w:lineRule="auto"/>
        <w:jc w:val="both"/>
        <w:rPr>
          <w:rFonts w:asciiTheme="majorBidi" w:hAnsiTheme="majorBidi" w:cstheme="majorBidi"/>
        </w:rPr>
      </w:pPr>
      <w:r w:rsidRPr="001F2624">
        <w:rPr>
          <w:rFonts w:asciiTheme="majorBidi" w:hAnsiTheme="majorBidi" w:cstheme="majorBidi"/>
          <w:i/>
          <w:iCs/>
        </w:rPr>
        <w:t>Planning</w:t>
      </w:r>
      <w:r w:rsidRPr="001F2624">
        <w:rPr>
          <w:rFonts w:asciiTheme="majorBidi" w:hAnsiTheme="majorBidi" w:cstheme="majorBidi"/>
        </w:rPr>
        <w:t xml:space="preserve">: organizing concepts or principles, directed attention, self-management, setting goals, activating background knowledge, predicting </w:t>
      </w:r>
    </w:p>
    <w:p w14:paraId="3ED954C5" w14:textId="77777777" w:rsidR="00142372" w:rsidRPr="001F2624" w:rsidRDefault="00142372" w:rsidP="0019078C">
      <w:pPr>
        <w:pStyle w:val="ListParagraph"/>
        <w:numPr>
          <w:ilvl w:val="0"/>
          <w:numId w:val="3"/>
        </w:numPr>
        <w:spacing w:after="120" w:line="240" w:lineRule="auto"/>
        <w:jc w:val="both"/>
        <w:rPr>
          <w:rFonts w:asciiTheme="majorBidi" w:hAnsiTheme="majorBidi" w:cstheme="majorBidi"/>
        </w:rPr>
      </w:pPr>
      <w:r w:rsidRPr="001F2624">
        <w:rPr>
          <w:rFonts w:asciiTheme="majorBidi" w:hAnsiTheme="majorBidi" w:cstheme="majorBidi"/>
          <w:i/>
          <w:iCs/>
        </w:rPr>
        <w:t>Monitoring</w:t>
      </w:r>
      <w:r w:rsidRPr="001F2624">
        <w:rPr>
          <w:rFonts w:asciiTheme="majorBidi" w:hAnsiTheme="majorBidi" w:cstheme="majorBidi"/>
        </w:rPr>
        <w:t>: selective attention, contextualizing, asking of it make sense, deduction/induction, note taking, using imagery, self-talk, cooperation</w:t>
      </w:r>
    </w:p>
    <w:p w14:paraId="3295CF07" w14:textId="77777777" w:rsidR="00142372" w:rsidRPr="001F2624" w:rsidRDefault="00142372" w:rsidP="0019078C">
      <w:pPr>
        <w:pStyle w:val="ListParagraph"/>
        <w:numPr>
          <w:ilvl w:val="0"/>
          <w:numId w:val="3"/>
        </w:numPr>
        <w:spacing w:after="120" w:line="240" w:lineRule="auto"/>
        <w:jc w:val="both"/>
        <w:rPr>
          <w:rFonts w:asciiTheme="majorBidi" w:hAnsiTheme="majorBidi" w:cstheme="majorBidi"/>
        </w:rPr>
      </w:pPr>
      <w:r w:rsidRPr="001F2624">
        <w:rPr>
          <w:rFonts w:asciiTheme="majorBidi" w:hAnsiTheme="majorBidi" w:cstheme="majorBidi"/>
          <w:i/>
          <w:iCs/>
        </w:rPr>
        <w:t>Problem solving</w:t>
      </w:r>
      <w:r w:rsidRPr="001F2624">
        <w:rPr>
          <w:rFonts w:asciiTheme="majorBidi" w:hAnsiTheme="majorBidi" w:cstheme="majorBidi"/>
        </w:rPr>
        <w:t>: inferencing, substitution, manipulation, using resources, asking for clarification</w:t>
      </w:r>
    </w:p>
    <w:p w14:paraId="383401A1" w14:textId="77777777" w:rsidR="00142372" w:rsidRPr="001F2624" w:rsidRDefault="00142372" w:rsidP="0019078C">
      <w:pPr>
        <w:pStyle w:val="ListParagraph"/>
        <w:numPr>
          <w:ilvl w:val="0"/>
          <w:numId w:val="3"/>
        </w:numPr>
        <w:spacing w:after="120" w:line="240" w:lineRule="auto"/>
        <w:jc w:val="both"/>
        <w:rPr>
          <w:rFonts w:asciiTheme="majorBidi" w:hAnsiTheme="majorBidi" w:cstheme="majorBidi"/>
        </w:rPr>
      </w:pPr>
      <w:r w:rsidRPr="001F2624">
        <w:rPr>
          <w:rFonts w:asciiTheme="majorBidi" w:hAnsiTheme="majorBidi" w:cstheme="majorBidi"/>
          <w:i/>
          <w:iCs/>
        </w:rPr>
        <w:t>Evaluating</w:t>
      </w:r>
      <w:r w:rsidRPr="001F2624">
        <w:rPr>
          <w:rFonts w:asciiTheme="majorBidi" w:hAnsiTheme="majorBidi" w:cstheme="majorBidi"/>
        </w:rPr>
        <w:t>: summarizing, verification of goals, verification of predictions, evaluating strategy use, self-evaluation</w:t>
      </w:r>
    </w:p>
    <w:p w14:paraId="3E2F5F45" w14:textId="77777777" w:rsidR="00142372" w:rsidRPr="001F2624" w:rsidRDefault="00142372" w:rsidP="00773293">
      <w:pPr>
        <w:spacing w:after="120" w:line="240" w:lineRule="auto"/>
        <w:jc w:val="both"/>
        <w:rPr>
          <w:rFonts w:asciiTheme="majorBidi" w:hAnsiTheme="majorBidi" w:cstheme="majorBidi"/>
          <w:i/>
          <w:iCs/>
        </w:rPr>
      </w:pPr>
      <w:r w:rsidRPr="001F2624">
        <w:rPr>
          <w:rFonts w:asciiTheme="majorBidi" w:hAnsiTheme="majorBidi" w:cstheme="majorBidi"/>
          <w:i/>
          <w:iCs/>
        </w:rPr>
        <w:t>Goh’s (2010) Integrated Experiential Learning Tasks (IELT)</w:t>
      </w:r>
    </w:p>
    <w:p w14:paraId="3A66B57B" w14:textId="77777777" w:rsidR="00142372" w:rsidRPr="001F2624" w:rsidRDefault="005A7525"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IELT is of five parts, namely, 1</w:t>
      </w:r>
      <w:r w:rsidR="00142372" w:rsidRPr="001F2624">
        <w:rPr>
          <w:rFonts w:asciiTheme="majorBidi" w:hAnsiTheme="majorBidi" w:cstheme="majorBidi"/>
        </w:rPr>
        <w:t>) meta</w:t>
      </w:r>
      <w:r w:rsidRPr="001F2624">
        <w:rPr>
          <w:rFonts w:asciiTheme="majorBidi" w:hAnsiTheme="majorBidi" w:cstheme="majorBidi"/>
        </w:rPr>
        <w:t>cognitive listening sequence, 2) self-directed listening, 3</w:t>
      </w:r>
      <w:r w:rsidR="00142372" w:rsidRPr="001F2624">
        <w:rPr>
          <w:rFonts w:asciiTheme="majorBidi" w:hAnsiTheme="majorBidi" w:cstheme="majorBidi"/>
        </w:rPr>
        <w:t xml:space="preserve">) listening buddies, </w:t>
      </w:r>
      <w:r w:rsidRPr="001F2624">
        <w:rPr>
          <w:rFonts w:asciiTheme="majorBidi" w:hAnsiTheme="majorBidi" w:cstheme="majorBidi"/>
        </w:rPr>
        <w:t>4</w:t>
      </w:r>
      <w:r w:rsidR="00142372" w:rsidRPr="001F2624">
        <w:rPr>
          <w:rFonts w:asciiTheme="majorBidi" w:hAnsiTheme="majorBidi" w:cstheme="majorBidi"/>
        </w:rPr>
        <w:t>) post-</w:t>
      </w:r>
      <w:r w:rsidRPr="001F2624">
        <w:rPr>
          <w:rFonts w:asciiTheme="majorBidi" w:hAnsiTheme="majorBidi" w:cstheme="majorBidi"/>
        </w:rPr>
        <w:t>listening perception activities and 5) guided reflections on L.C. which consists of</w:t>
      </w:r>
      <w:r w:rsidR="00142372" w:rsidRPr="001F2624">
        <w:rPr>
          <w:rFonts w:asciiTheme="majorBidi" w:hAnsiTheme="majorBidi" w:cstheme="majorBidi"/>
        </w:rPr>
        <w:t xml:space="preserve"> (a) listening diaries, (b) anxiety and motivation charts, (c) process-based discussions and (d</w:t>
      </w:r>
      <w:r w:rsidRPr="001F2624">
        <w:rPr>
          <w:rFonts w:asciiTheme="majorBidi" w:hAnsiTheme="majorBidi" w:cstheme="majorBidi"/>
        </w:rPr>
        <w:t>) self-report checklists. Figure 1 elaborates on how m</w:t>
      </w:r>
      <w:r w:rsidR="00142372" w:rsidRPr="001F2624">
        <w:rPr>
          <w:rFonts w:asciiTheme="majorBidi" w:hAnsiTheme="majorBidi" w:cstheme="majorBidi"/>
        </w:rPr>
        <w:t xml:space="preserve">etacognitive </w:t>
      </w:r>
      <w:r w:rsidRPr="001F2624">
        <w:rPr>
          <w:rFonts w:asciiTheme="majorBidi" w:hAnsiTheme="majorBidi" w:cstheme="majorBidi"/>
        </w:rPr>
        <w:t xml:space="preserve">listening sequence proceeds </w:t>
      </w:r>
      <w:r w:rsidR="00142372" w:rsidRPr="001F2624">
        <w:rPr>
          <w:rFonts w:asciiTheme="majorBidi" w:hAnsiTheme="majorBidi" w:cstheme="majorBidi"/>
        </w:rPr>
        <w:t>and how all parts of t</w:t>
      </w:r>
      <w:r w:rsidRPr="001F2624">
        <w:rPr>
          <w:rFonts w:asciiTheme="majorBidi" w:hAnsiTheme="majorBidi" w:cstheme="majorBidi"/>
        </w:rPr>
        <w:t>he model relate to it.</w:t>
      </w:r>
    </w:p>
    <w:p w14:paraId="114CFA3E" w14:textId="77777777" w:rsidR="00142372" w:rsidRPr="001F2624" w:rsidRDefault="00142372" w:rsidP="00773293">
      <w:pPr>
        <w:spacing w:after="120" w:line="240" w:lineRule="auto"/>
        <w:jc w:val="both"/>
        <w:rPr>
          <w:rFonts w:asciiTheme="majorBidi" w:hAnsiTheme="majorBidi" w:cstheme="majorBidi"/>
          <w:i/>
          <w:iCs/>
        </w:rPr>
      </w:pPr>
      <w:r w:rsidRPr="001F2624">
        <w:rPr>
          <w:rFonts w:asciiTheme="majorBidi" w:hAnsiTheme="majorBidi" w:cstheme="majorBidi"/>
          <w:i/>
          <w:iCs/>
        </w:rPr>
        <w:t>Vandergrift’s Me</w:t>
      </w:r>
      <w:r w:rsidR="002D17E1" w:rsidRPr="001F2624">
        <w:rPr>
          <w:rFonts w:asciiTheme="majorBidi" w:hAnsiTheme="majorBidi" w:cstheme="majorBidi"/>
          <w:i/>
          <w:iCs/>
        </w:rPr>
        <w:t>tacognitive Pedagogical Cycle (MPC</w:t>
      </w:r>
      <w:r w:rsidRPr="001F2624">
        <w:rPr>
          <w:rFonts w:asciiTheme="majorBidi" w:hAnsiTheme="majorBidi" w:cstheme="majorBidi"/>
          <w:i/>
          <w:iCs/>
        </w:rPr>
        <w:t>)</w:t>
      </w:r>
    </w:p>
    <w:p w14:paraId="5128C5BC" w14:textId="77777777" w:rsidR="00142372" w:rsidRPr="001F2624" w:rsidRDefault="002D17E1"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Vandergrift’s (2004) MPC</w:t>
      </w:r>
      <w:r w:rsidR="005A7525" w:rsidRPr="001F2624">
        <w:rPr>
          <w:rFonts w:asciiTheme="majorBidi" w:hAnsiTheme="majorBidi" w:cstheme="majorBidi"/>
        </w:rPr>
        <w:t xml:space="preserve"> is designed in 5 stages of 1</w:t>
      </w:r>
      <w:r w:rsidR="00142372" w:rsidRPr="001F2624">
        <w:rPr>
          <w:rFonts w:asciiTheme="majorBidi" w:hAnsiTheme="majorBidi" w:cstheme="majorBidi"/>
        </w:rPr>
        <w:t>) pre-listening: p</w:t>
      </w:r>
      <w:r w:rsidR="005A7525" w:rsidRPr="001F2624">
        <w:rPr>
          <w:rFonts w:asciiTheme="majorBidi" w:hAnsiTheme="majorBidi" w:cstheme="majorBidi"/>
        </w:rPr>
        <w:t>lanning and predicting stage, 2</w:t>
      </w:r>
      <w:r w:rsidR="00142372" w:rsidRPr="001F2624">
        <w:rPr>
          <w:rFonts w:asciiTheme="majorBidi" w:hAnsiTheme="majorBidi" w:cstheme="majorBidi"/>
        </w:rPr>
        <w:t>) first listeni</w:t>
      </w:r>
      <w:r w:rsidR="005A7525" w:rsidRPr="001F2624">
        <w:rPr>
          <w:rFonts w:asciiTheme="majorBidi" w:hAnsiTheme="majorBidi" w:cstheme="majorBidi"/>
        </w:rPr>
        <w:t>ng: first verification stage, 3</w:t>
      </w:r>
      <w:r w:rsidR="00142372" w:rsidRPr="001F2624">
        <w:rPr>
          <w:rFonts w:asciiTheme="majorBidi" w:hAnsiTheme="majorBidi" w:cstheme="majorBidi"/>
        </w:rPr>
        <w:t xml:space="preserve">) second listening: second verification </w:t>
      </w:r>
      <w:r w:rsidR="005A7525" w:rsidRPr="001F2624">
        <w:rPr>
          <w:rFonts w:asciiTheme="majorBidi" w:hAnsiTheme="majorBidi" w:cstheme="majorBidi"/>
        </w:rPr>
        <w:t>stage, 4</w:t>
      </w:r>
      <w:r w:rsidR="00142372" w:rsidRPr="001F2624">
        <w:rPr>
          <w:rFonts w:asciiTheme="majorBidi" w:hAnsiTheme="majorBidi" w:cstheme="majorBidi"/>
        </w:rPr>
        <w:t xml:space="preserve">) third listening: </w:t>
      </w:r>
      <w:r w:rsidR="005A7525" w:rsidRPr="001F2624">
        <w:rPr>
          <w:rFonts w:asciiTheme="majorBidi" w:hAnsiTheme="majorBidi" w:cstheme="majorBidi"/>
        </w:rPr>
        <w:t>final verification stage, and 5</w:t>
      </w:r>
      <w:r w:rsidR="00142372" w:rsidRPr="001F2624">
        <w:rPr>
          <w:rFonts w:asciiTheme="majorBidi" w:hAnsiTheme="majorBidi" w:cstheme="majorBidi"/>
        </w:rPr>
        <w:t>) reflection stage. Each of the stages has one or two steps and includes metacognitive processes that are demonstrated in Figure 2.</w:t>
      </w:r>
    </w:p>
    <w:p w14:paraId="24369364" w14:textId="77777777" w:rsidR="00574D5A" w:rsidRPr="00773293" w:rsidRDefault="00773293" w:rsidP="00773293">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 xml:space="preserve">3.3. </w:t>
      </w:r>
      <w:r w:rsidR="00574D5A" w:rsidRPr="00773293">
        <w:rPr>
          <w:rFonts w:asciiTheme="majorBidi" w:hAnsiTheme="majorBidi" w:cstheme="majorBidi"/>
          <w:i/>
          <w:iCs/>
        </w:rPr>
        <w:t>Procedure</w:t>
      </w:r>
    </w:p>
    <w:p w14:paraId="5CC131DA" w14:textId="77777777" w:rsidR="00574D5A" w:rsidRPr="001F2624" w:rsidRDefault="00574D5A"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PET and FCE Listening tests and MSLQ were administered during 3 successive sessions before and after the intervention to prevent the boredom and fatigue. Participants were briefed on what they </w:t>
      </w:r>
      <w:r w:rsidRPr="001F2624">
        <w:rPr>
          <w:rFonts w:asciiTheme="majorBidi" w:hAnsiTheme="majorBidi" w:cstheme="majorBidi"/>
        </w:rPr>
        <w:lastRenderedPageBreak/>
        <w:t>were going to do during the study on the 3</w:t>
      </w:r>
      <w:r w:rsidRPr="003973ED">
        <w:rPr>
          <w:rFonts w:asciiTheme="majorBidi" w:hAnsiTheme="majorBidi" w:cstheme="majorBidi"/>
        </w:rPr>
        <w:t>rd</w:t>
      </w:r>
      <w:r w:rsidR="00273D9C">
        <w:rPr>
          <w:rFonts w:asciiTheme="majorBidi" w:hAnsiTheme="majorBidi" w:cstheme="majorBidi"/>
        </w:rPr>
        <w:t xml:space="preserve">. </w:t>
      </w:r>
      <w:r w:rsidRPr="001F2624">
        <w:rPr>
          <w:rFonts w:asciiTheme="majorBidi" w:hAnsiTheme="majorBidi" w:cstheme="majorBidi"/>
        </w:rPr>
        <w:t>All groups were instructed by the s</w:t>
      </w:r>
      <w:r w:rsidR="009D1B76" w:rsidRPr="001F2624">
        <w:rPr>
          <w:rFonts w:asciiTheme="majorBidi" w:hAnsiTheme="majorBidi" w:cstheme="majorBidi"/>
        </w:rPr>
        <w:t>ame researcher. EG1,</w:t>
      </w:r>
      <w:r w:rsidR="00273D9C">
        <w:rPr>
          <w:rFonts w:asciiTheme="majorBidi" w:hAnsiTheme="majorBidi" w:cstheme="majorBidi"/>
        </w:rPr>
        <w:t xml:space="preserve"> and</w:t>
      </w:r>
      <w:r w:rsidR="009D1B76" w:rsidRPr="001F2624">
        <w:rPr>
          <w:rFonts w:asciiTheme="majorBidi" w:hAnsiTheme="majorBidi" w:cstheme="majorBidi"/>
        </w:rPr>
        <w:t xml:space="preserve"> EG2</w:t>
      </w:r>
      <w:r w:rsidRPr="001F2624">
        <w:rPr>
          <w:rFonts w:asciiTheme="majorBidi" w:hAnsiTheme="majorBidi" w:cstheme="majorBidi"/>
        </w:rPr>
        <w:t xml:space="preserve"> went through 8 sessions of </w:t>
      </w:r>
      <w:r w:rsidR="009D1B76" w:rsidRPr="001F2624">
        <w:rPr>
          <w:rFonts w:asciiTheme="majorBidi" w:hAnsiTheme="majorBidi" w:cstheme="majorBidi"/>
        </w:rPr>
        <w:t xml:space="preserve">task-based metacognitive </w:t>
      </w:r>
      <w:r w:rsidRPr="001F2624">
        <w:rPr>
          <w:rFonts w:asciiTheme="majorBidi" w:hAnsiTheme="majorBidi" w:cstheme="majorBidi"/>
        </w:rPr>
        <w:t>instruction</w:t>
      </w:r>
      <w:r w:rsidR="009C69A0" w:rsidRPr="001F2624">
        <w:rPr>
          <w:rFonts w:asciiTheme="majorBidi" w:hAnsiTheme="majorBidi" w:cstheme="majorBidi"/>
        </w:rPr>
        <w:t xml:space="preserve"> of L.C. </w:t>
      </w:r>
      <w:r w:rsidR="009D1B76" w:rsidRPr="001F2624">
        <w:rPr>
          <w:rFonts w:asciiTheme="majorBidi" w:hAnsiTheme="majorBidi" w:cstheme="majorBidi"/>
        </w:rPr>
        <w:t>based on their respective model, while ACG and PCG were</w:t>
      </w:r>
      <w:r w:rsidRPr="001F2624">
        <w:rPr>
          <w:rFonts w:asciiTheme="majorBidi" w:hAnsiTheme="majorBidi" w:cstheme="majorBidi"/>
        </w:rPr>
        <w:t xml:space="preserve"> subject to 8 sessions of traditional product-based L.C. inst</w:t>
      </w:r>
      <w:r w:rsidR="009D1B76" w:rsidRPr="001F2624">
        <w:rPr>
          <w:rFonts w:asciiTheme="majorBidi" w:hAnsiTheme="majorBidi" w:cstheme="majorBidi"/>
        </w:rPr>
        <w:t>ruction of the same material and ACG</w:t>
      </w:r>
      <w:r w:rsidR="00273D9C">
        <w:rPr>
          <w:rFonts w:asciiTheme="majorBidi" w:hAnsiTheme="majorBidi" w:cstheme="majorBidi"/>
        </w:rPr>
        <w:t xml:space="preserve"> </w:t>
      </w:r>
      <w:r w:rsidR="009D1B76" w:rsidRPr="001F2624">
        <w:rPr>
          <w:rFonts w:asciiTheme="majorBidi" w:hAnsiTheme="majorBidi" w:cstheme="majorBidi"/>
        </w:rPr>
        <w:t>received an additional explicit</w:t>
      </w:r>
      <w:r w:rsidRPr="001F2624">
        <w:rPr>
          <w:rFonts w:asciiTheme="majorBidi" w:hAnsiTheme="majorBidi" w:cstheme="majorBidi"/>
        </w:rPr>
        <w:t xml:space="preserve"> indication of </w:t>
      </w:r>
      <w:r w:rsidR="009D1B76" w:rsidRPr="001F2624">
        <w:rPr>
          <w:rFonts w:asciiTheme="majorBidi" w:hAnsiTheme="majorBidi" w:cstheme="majorBidi"/>
        </w:rPr>
        <w:t xml:space="preserve">the </w:t>
      </w:r>
      <w:r w:rsidRPr="001F2624">
        <w:rPr>
          <w:rFonts w:asciiTheme="majorBidi" w:hAnsiTheme="majorBidi" w:cstheme="majorBidi"/>
        </w:rPr>
        <w:t>strategies. The treatment of each group is presented here:</w:t>
      </w:r>
    </w:p>
    <w:p w14:paraId="7AA25FD1" w14:textId="77777777" w:rsidR="00574D5A" w:rsidRPr="001F2624" w:rsidRDefault="00574D5A" w:rsidP="00151932">
      <w:pPr>
        <w:spacing w:after="120" w:line="240" w:lineRule="auto"/>
        <w:jc w:val="both"/>
        <w:rPr>
          <w:rFonts w:asciiTheme="majorBidi" w:hAnsiTheme="majorBidi" w:cstheme="majorBidi"/>
          <w:i/>
          <w:iCs/>
        </w:rPr>
      </w:pPr>
      <w:r w:rsidRPr="001F2624">
        <w:rPr>
          <w:rFonts w:asciiTheme="majorBidi" w:hAnsiTheme="majorBidi" w:cstheme="majorBidi"/>
          <w:i/>
          <w:iCs/>
        </w:rPr>
        <w:t>EG1 Treatment</w:t>
      </w:r>
    </w:p>
    <w:p w14:paraId="4242DD25" w14:textId="77777777" w:rsidR="00574D5A" w:rsidRPr="001F2624" w:rsidRDefault="00574D5A"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EG1 was instructed based on IELT. Figure 1 describes the procedure of class treatment. Participants were handed self-directed listening worksheets at the beginning of every session and metacognitive listening sequence was the basis of every session instruction and consisted of the following steps:</w:t>
      </w:r>
    </w:p>
    <w:p w14:paraId="1A2AB6FA"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Planning</w:t>
      </w:r>
      <w:r w:rsidRPr="001F2624">
        <w:rPr>
          <w:rFonts w:asciiTheme="majorBidi" w:hAnsiTheme="majorBidi" w:cstheme="majorBidi"/>
        </w:rPr>
        <w:t>: Learners were handed the self-directed listening worksheets and they would discuss the goals of listening, their knowledge about the topic, and their predictions in pairs. They were encouraged to predict their problems with the listening task and think of appropriate strategies to face it.</w:t>
      </w:r>
    </w:p>
    <w:p w14:paraId="73BA42D3"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Listening 1</w:t>
      </w:r>
      <w:r w:rsidRPr="001F2624">
        <w:rPr>
          <w:rFonts w:asciiTheme="majorBidi" w:hAnsiTheme="majorBidi" w:cstheme="majorBidi"/>
        </w:rPr>
        <w:t>: Planning phase notes were checked and revised and new information was noted as they were listening.</w:t>
      </w:r>
    </w:p>
    <w:p w14:paraId="4BA286B9"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Pair process-based discussion</w:t>
      </w:r>
      <w:r w:rsidRPr="001F2624">
        <w:rPr>
          <w:rFonts w:asciiTheme="majorBidi" w:hAnsiTheme="majorBidi" w:cstheme="majorBidi"/>
        </w:rPr>
        <w:t xml:space="preserve">: In pairs, the learners discussed what they had understood and explained the strategies they used. They made notes on the problematic parts and the teacher modeled how she would listen selectively to problematic parts. </w:t>
      </w:r>
    </w:p>
    <w:p w14:paraId="35173A9A"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Listening 2</w:t>
      </w:r>
      <w:r w:rsidRPr="001F2624">
        <w:rPr>
          <w:rFonts w:asciiTheme="majorBidi" w:hAnsiTheme="majorBidi" w:cstheme="majorBidi"/>
        </w:rPr>
        <w:t>: The learners listened for the second time, focusing on the problematic parts and noted new information.</w:t>
      </w:r>
    </w:p>
    <w:p w14:paraId="57300627"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Whole-class process-based discussion</w:t>
      </w:r>
      <w:r w:rsidRPr="001F2624">
        <w:rPr>
          <w:rFonts w:asciiTheme="majorBidi" w:hAnsiTheme="majorBidi" w:cstheme="majorBidi"/>
        </w:rPr>
        <w:t>: This was the teacher-led part of the class when she confirmed the comprehension and discussed with the students the strategies that they reported using. The 3 strategies of the session were also introduced and elaborated on.</w:t>
      </w:r>
    </w:p>
    <w:p w14:paraId="6868E8B2"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Listening 3</w:t>
      </w:r>
      <w:r w:rsidRPr="001F2624">
        <w:rPr>
          <w:rFonts w:asciiTheme="majorBidi" w:hAnsiTheme="majorBidi" w:cstheme="majorBidi"/>
        </w:rPr>
        <w:t>: Students put their used strategies of paired and whole-class process-based discussion together with what the teacher had taught them and combined them to comprehend the same input.</w:t>
      </w:r>
    </w:p>
    <w:p w14:paraId="1BB3EF66"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Script-sound recognition</w:t>
      </w:r>
      <w:r w:rsidRPr="001F2624">
        <w:rPr>
          <w:rFonts w:asciiTheme="majorBidi" w:hAnsiTheme="majorBidi" w:cstheme="majorBidi"/>
        </w:rPr>
        <w:t>: learners were provided with the scrip of the audio file so they could match the sound to the print and vice versa. It was where post listening perception activities were introduced.</w:t>
      </w:r>
    </w:p>
    <w:p w14:paraId="60F3E3C2" w14:textId="77777777" w:rsidR="00574D5A" w:rsidRPr="001F2624" w:rsidRDefault="00574D5A" w:rsidP="0019078C">
      <w:pPr>
        <w:pStyle w:val="ListParagraph"/>
        <w:numPr>
          <w:ilvl w:val="0"/>
          <w:numId w:val="2"/>
        </w:numPr>
        <w:spacing w:after="120" w:line="240" w:lineRule="auto"/>
        <w:jc w:val="both"/>
        <w:rPr>
          <w:rFonts w:asciiTheme="majorBidi" w:hAnsiTheme="majorBidi" w:cstheme="majorBidi"/>
        </w:rPr>
      </w:pPr>
      <w:r w:rsidRPr="001F2624">
        <w:rPr>
          <w:rFonts w:asciiTheme="majorBidi" w:hAnsiTheme="majorBidi" w:cstheme="majorBidi"/>
          <w:i/>
          <w:iCs/>
        </w:rPr>
        <w:t>Personal reflection</w:t>
      </w:r>
      <w:r w:rsidRPr="001F2624">
        <w:rPr>
          <w:rFonts w:asciiTheme="majorBidi" w:hAnsiTheme="majorBidi" w:cstheme="majorBidi"/>
        </w:rPr>
        <w:t>: Learners were invited to reflect on their listening procedure. They were, as well, asked to make some notes in their anxiety and motivation chart and also to make short entries into their listening diaries. They noted down their understanding of the listening task and they reflected on the guided listening process, and evaluated the effectiveness of strategies they knew, used and learned.</w:t>
      </w:r>
    </w:p>
    <w:p w14:paraId="0775832A" w14:textId="77777777" w:rsidR="00574D5A" w:rsidRPr="001F2624" w:rsidRDefault="00574D5A"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Participants were finally assigned home works every session. EG1 could perform listening buddies twice, once halfway the intervention and once in the end. EG1</w:t>
      </w:r>
      <w:r w:rsidR="009D1B76" w:rsidRPr="001F2624">
        <w:rPr>
          <w:rFonts w:asciiTheme="majorBidi" w:hAnsiTheme="majorBidi" w:cstheme="majorBidi"/>
        </w:rPr>
        <w:t xml:space="preserve"> participants</w:t>
      </w:r>
      <w:r w:rsidRPr="001F2624">
        <w:rPr>
          <w:rFonts w:asciiTheme="majorBidi" w:hAnsiTheme="majorBidi" w:cstheme="majorBidi"/>
        </w:rPr>
        <w:t xml:space="preserve"> found it difficult to team up outside the class.</w:t>
      </w:r>
    </w:p>
    <w:p w14:paraId="42359522" w14:textId="77777777" w:rsidR="00574D5A" w:rsidRPr="001F2624" w:rsidRDefault="00087EFC" w:rsidP="00151932">
      <w:pPr>
        <w:spacing w:after="120" w:line="240" w:lineRule="auto"/>
        <w:jc w:val="center"/>
        <w:rPr>
          <w:rFonts w:asciiTheme="majorBidi" w:hAnsiTheme="majorBidi" w:cstheme="majorBidi"/>
        </w:rPr>
      </w:pPr>
      <w:r w:rsidRPr="001F2624">
        <w:rPr>
          <w:rFonts w:asciiTheme="majorBidi" w:hAnsiTheme="majorBidi" w:cstheme="majorBidi"/>
          <w:noProof/>
        </w:rPr>
        <w:lastRenderedPageBreak/>
        <w:drawing>
          <wp:inline distT="0" distB="0" distL="0" distR="0" wp14:anchorId="405DB7FA" wp14:editId="6667CF7B">
            <wp:extent cx="4389177" cy="360983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89177" cy="3609833"/>
                    </a:xfrm>
                    <a:prstGeom prst="rect">
                      <a:avLst/>
                    </a:prstGeom>
                    <a:noFill/>
                    <a:ln w="9525">
                      <a:noFill/>
                      <a:miter lim="800000"/>
                      <a:headEnd/>
                      <a:tailEnd/>
                    </a:ln>
                  </pic:spPr>
                </pic:pic>
              </a:graphicData>
            </a:graphic>
          </wp:inline>
        </w:drawing>
      </w:r>
    </w:p>
    <w:p w14:paraId="1CA72001" w14:textId="77777777" w:rsidR="00574D5A" w:rsidRPr="001F2624" w:rsidRDefault="00574D5A" w:rsidP="00151932">
      <w:pPr>
        <w:spacing w:after="120" w:line="240" w:lineRule="auto"/>
        <w:jc w:val="center"/>
        <w:rPr>
          <w:rFonts w:asciiTheme="majorBidi" w:hAnsiTheme="majorBidi" w:cstheme="majorBidi"/>
        </w:rPr>
      </w:pPr>
      <w:r w:rsidRPr="001F2624">
        <w:rPr>
          <w:rFonts w:asciiTheme="majorBidi" w:hAnsiTheme="majorBidi" w:cstheme="majorBidi"/>
        </w:rPr>
        <w:t>Figure 1: Integrated Experiential Learning Task (IELT)</w:t>
      </w:r>
    </w:p>
    <w:p w14:paraId="52839A5B" w14:textId="77777777" w:rsidR="00574D5A" w:rsidRPr="001F2624" w:rsidRDefault="00574D5A" w:rsidP="0019078C">
      <w:pPr>
        <w:spacing w:after="120" w:line="240" w:lineRule="auto"/>
        <w:ind w:firstLine="567"/>
        <w:jc w:val="both"/>
        <w:rPr>
          <w:rFonts w:asciiTheme="majorBidi" w:hAnsiTheme="majorBidi" w:cstheme="majorBidi"/>
          <w:i/>
          <w:iCs/>
        </w:rPr>
      </w:pPr>
      <w:r w:rsidRPr="001F2624">
        <w:rPr>
          <w:rFonts w:asciiTheme="majorBidi" w:hAnsiTheme="majorBidi" w:cstheme="majorBidi"/>
          <w:i/>
          <w:iCs/>
        </w:rPr>
        <w:t>EG2 Treatment</w:t>
      </w:r>
    </w:p>
    <w:p w14:paraId="1DC586A7" w14:textId="77777777" w:rsidR="00574D5A" w:rsidRPr="001F2624" w:rsidRDefault="00574D5A" w:rsidP="0019078C">
      <w:pPr>
        <w:spacing w:after="120" w:line="240" w:lineRule="auto"/>
        <w:ind w:firstLine="567"/>
        <w:jc w:val="both"/>
        <w:rPr>
          <w:rFonts w:asciiTheme="majorBidi" w:hAnsiTheme="majorBidi" w:cstheme="majorBidi"/>
        </w:rPr>
      </w:pPr>
      <w:r w:rsidRPr="001F2624">
        <w:rPr>
          <w:rFonts w:asciiTheme="majorBidi" w:hAnsiTheme="majorBidi" w:cstheme="majorBidi"/>
        </w:rPr>
        <w:t>EG2 was instructed base</w:t>
      </w:r>
      <w:r w:rsidR="004153C4" w:rsidRPr="001F2624">
        <w:rPr>
          <w:rFonts w:asciiTheme="majorBidi" w:hAnsiTheme="majorBidi" w:cstheme="majorBidi"/>
        </w:rPr>
        <w:t>d on MPC the procedure of which is as follows</w:t>
      </w:r>
      <w:r w:rsidRPr="001F2624">
        <w:rPr>
          <w:rFonts w:asciiTheme="majorBidi" w:hAnsiTheme="majorBidi" w:cstheme="majorBidi"/>
        </w:rPr>
        <w:t>:</w:t>
      </w:r>
    </w:p>
    <w:p w14:paraId="3DCB763B" w14:textId="77777777" w:rsidR="00574D5A" w:rsidRPr="001F2624" w:rsidRDefault="00574D5A" w:rsidP="0019078C">
      <w:pPr>
        <w:pStyle w:val="ListParagraph"/>
        <w:numPr>
          <w:ilvl w:val="0"/>
          <w:numId w:val="4"/>
        </w:numPr>
        <w:spacing w:after="120" w:line="240" w:lineRule="auto"/>
        <w:jc w:val="both"/>
        <w:rPr>
          <w:rFonts w:asciiTheme="majorBidi" w:hAnsiTheme="majorBidi" w:cstheme="majorBidi"/>
        </w:rPr>
      </w:pPr>
      <w:r w:rsidRPr="001F2624">
        <w:rPr>
          <w:rFonts w:asciiTheme="majorBidi" w:hAnsiTheme="majorBidi" w:cstheme="majorBidi"/>
        </w:rPr>
        <w:t>Participants were given the topic of the listening and worksheets with 3 columns for prediction, first listening, and second listening and a box under the table for their reflection. They would brainstorm and predict what they would hear and note in prediction column.</w:t>
      </w:r>
    </w:p>
    <w:p w14:paraId="41838CCD" w14:textId="77777777" w:rsidR="00574D5A" w:rsidRPr="001F2624" w:rsidRDefault="00574D5A" w:rsidP="0019078C">
      <w:pPr>
        <w:pStyle w:val="ListParagraph"/>
        <w:numPr>
          <w:ilvl w:val="0"/>
          <w:numId w:val="4"/>
        </w:numPr>
        <w:spacing w:after="120" w:line="240" w:lineRule="auto"/>
        <w:jc w:val="both"/>
        <w:rPr>
          <w:rFonts w:asciiTheme="majorBidi" w:hAnsiTheme="majorBidi" w:cstheme="majorBidi"/>
        </w:rPr>
      </w:pPr>
      <w:r w:rsidRPr="001F2624">
        <w:rPr>
          <w:rFonts w:asciiTheme="majorBidi" w:hAnsiTheme="majorBidi" w:cstheme="majorBidi"/>
        </w:rPr>
        <w:t>Participants listened to the audio for the first time and checked their predictions and revised them, noted the complicated parts, the parts which needed more attention and also verified their predictions with peers. They would add points to first listening column.</w:t>
      </w:r>
    </w:p>
    <w:p w14:paraId="6EBD665E" w14:textId="77777777" w:rsidR="00574D5A" w:rsidRPr="001F2624" w:rsidRDefault="00574D5A" w:rsidP="0019078C">
      <w:pPr>
        <w:pStyle w:val="ListParagraph"/>
        <w:numPr>
          <w:ilvl w:val="0"/>
          <w:numId w:val="4"/>
        </w:numPr>
        <w:spacing w:after="120" w:line="240" w:lineRule="auto"/>
        <w:jc w:val="both"/>
        <w:rPr>
          <w:rFonts w:asciiTheme="majorBidi" w:hAnsiTheme="majorBidi" w:cstheme="majorBidi"/>
        </w:rPr>
      </w:pPr>
      <w:r w:rsidRPr="001F2624">
        <w:rPr>
          <w:rFonts w:asciiTheme="majorBidi" w:hAnsiTheme="majorBidi" w:cstheme="majorBidi"/>
        </w:rPr>
        <w:t>Participants listened to the audio for the second time and were invited to resolve the difficulties they faced during first listening and add notes to second listening column. In this phase there was a group discussion to check for comprehension and participants would share how they succeeded in comprehending.</w:t>
      </w:r>
    </w:p>
    <w:p w14:paraId="730D1271" w14:textId="77777777" w:rsidR="00574D5A" w:rsidRPr="001F2624" w:rsidRDefault="00574D5A" w:rsidP="0019078C">
      <w:pPr>
        <w:pStyle w:val="ListParagraph"/>
        <w:numPr>
          <w:ilvl w:val="0"/>
          <w:numId w:val="4"/>
        </w:numPr>
        <w:spacing w:after="120" w:line="240" w:lineRule="auto"/>
        <w:jc w:val="both"/>
        <w:rPr>
          <w:rFonts w:asciiTheme="majorBidi" w:hAnsiTheme="majorBidi" w:cstheme="majorBidi"/>
        </w:rPr>
      </w:pPr>
      <w:r w:rsidRPr="001F2624">
        <w:rPr>
          <w:rFonts w:asciiTheme="majorBidi" w:hAnsiTheme="majorBidi" w:cstheme="majorBidi"/>
        </w:rPr>
        <w:t>Third listening was when participants would verify their perception and comprehension what they had missed earlier.</w:t>
      </w:r>
    </w:p>
    <w:p w14:paraId="57896146" w14:textId="77777777" w:rsidR="00574D5A" w:rsidRPr="001F2624" w:rsidRDefault="00574D5A" w:rsidP="0019078C">
      <w:pPr>
        <w:pStyle w:val="ListParagraph"/>
        <w:numPr>
          <w:ilvl w:val="0"/>
          <w:numId w:val="4"/>
        </w:numPr>
        <w:spacing w:after="120" w:line="240" w:lineRule="auto"/>
        <w:jc w:val="both"/>
        <w:rPr>
          <w:rFonts w:asciiTheme="majorBidi" w:hAnsiTheme="majorBidi" w:cstheme="majorBidi"/>
        </w:rPr>
      </w:pPr>
      <w:r w:rsidRPr="001F2624">
        <w:rPr>
          <w:rFonts w:asciiTheme="majorBidi" w:hAnsiTheme="majorBidi" w:cstheme="majorBidi"/>
        </w:rPr>
        <w:t>Finally, participants reflected on their activity in the box on their worksheet. They would include the strategies they used and the ones they would use the following time. After the reflection stage, the participants were assigned homework and the class was called off.</w:t>
      </w:r>
    </w:p>
    <w:p w14:paraId="4C65ADBE" w14:textId="77777777" w:rsidR="00574D5A" w:rsidRPr="001F2624" w:rsidRDefault="00087EFC" w:rsidP="00151932">
      <w:pPr>
        <w:spacing w:after="120" w:line="240" w:lineRule="auto"/>
        <w:jc w:val="center"/>
        <w:rPr>
          <w:rFonts w:asciiTheme="majorBidi" w:hAnsiTheme="majorBidi" w:cstheme="majorBidi"/>
        </w:rPr>
      </w:pPr>
      <w:r w:rsidRPr="001F2624">
        <w:rPr>
          <w:rFonts w:asciiTheme="majorBidi" w:hAnsiTheme="majorBidi" w:cstheme="majorBidi"/>
          <w:noProof/>
        </w:rPr>
        <w:lastRenderedPageBreak/>
        <w:drawing>
          <wp:inline distT="0" distB="0" distL="0" distR="0" wp14:anchorId="378F7D79" wp14:editId="16CD51FE">
            <wp:extent cx="4334586" cy="4612943"/>
            <wp:effectExtent l="19050" t="0" r="8814"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34586" cy="4612943"/>
                    </a:xfrm>
                    <a:prstGeom prst="rect">
                      <a:avLst/>
                    </a:prstGeom>
                    <a:noFill/>
                    <a:ln w="9525">
                      <a:noFill/>
                      <a:miter lim="800000"/>
                      <a:headEnd/>
                      <a:tailEnd/>
                    </a:ln>
                  </pic:spPr>
                </pic:pic>
              </a:graphicData>
            </a:graphic>
          </wp:inline>
        </w:drawing>
      </w:r>
    </w:p>
    <w:p w14:paraId="73C740C4" w14:textId="77777777" w:rsidR="00574D5A" w:rsidRPr="001F2624" w:rsidRDefault="00574D5A" w:rsidP="00151932">
      <w:pPr>
        <w:spacing w:after="120" w:line="240" w:lineRule="auto"/>
        <w:jc w:val="center"/>
        <w:rPr>
          <w:rFonts w:asciiTheme="majorBidi" w:hAnsiTheme="majorBidi" w:cstheme="majorBidi"/>
        </w:rPr>
      </w:pPr>
      <w:r w:rsidRPr="001F2624">
        <w:rPr>
          <w:rFonts w:asciiTheme="majorBidi" w:hAnsiTheme="majorBidi" w:cstheme="majorBidi"/>
        </w:rPr>
        <w:t>Figure 2: Me</w:t>
      </w:r>
      <w:r w:rsidR="002E4077" w:rsidRPr="001F2624">
        <w:rPr>
          <w:rFonts w:asciiTheme="majorBidi" w:hAnsiTheme="majorBidi" w:cstheme="majorBidi"/>
        </w:rPr>
        <w:t>tacognitive Pedagogical Cycle (MPC</w:t>
      </w:r>
      <w:r w:rsidRPr="001F2624">
        <w:rPr>
          <w:rFonts w:asciiTheme="majorBidi" w:hAnsiTheme="majorBidi" w:cstheme="majorBidi"/>
        </w:rPr>
        <w:t>)</w:t>
      </w:r>
    </w:p>
    <w:p w14:paraId="3E0C8AE0" w14:textId="77777777" w:rsidR="00574D5A" w:rsidRPr="001F2624" w:rsidRDefault="00574D5A" w:rsidP="00151932">
      <w:pPr>
        <w:spacing w:after="120" w:line="240" w:lineRule="auto"/>
        <w:jc w:val="both"/>
        <w:rPr>
          <w:rFonts w:asciiTheme="majorBidi" w:hAnsiTheme="majorBidi" w:cstheme="majorBidi"/>
          <w:i/>
          <w:iCs/>
        </w:rPr>
      </w:pPr>
      <w:r w:rsidRPr="001F2624">
        <w:rPr>
          <w:rFonts w:asciiTheme="majorBidi" w:hAnsiTheme="majorBidi" w:cstheme="majorBidi"/>
          <w:i/>
          <w:iCs/>
        </w:rPr>
        <w:t>Control Groups Treatments</w:t>
      </w:r>
    </w:p>
    <w:p w14:paraId="02388DF8" w14:textId="77777777" w:rsidR="00574D5A" w:rsidRPr="001F2624" w:rsidRDefault="00574D5A"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Both control groups shared the material with experimental groups and listened to the</w:t>
      </w:r>
      <w:r w:rsidR="004153C4" w:rsidRPr="001F2624">
        <w:rPr>
          <w:rFonts w:asciiTheme="majorBidi" w:hAnsiTheme="majorBidi" w:cstheme="majorBidi"/>
        </w:rPr>
        <w:t xml:space="preserve"> same audio files</w:t>
      </w:r>
      <w:r w:rsidRPr="001F2624">
        <w:rPr>
          <w:rFonts w:asciiTheme="majorBidi" w:hAnsiTheme="majorBidi" w:cstheme="majorBidi"/>
        </w:rPr>
        <w:t xml:space="preserve"> 3-4 times but they were instru</w:t>
      </w:r>
      <w:r w:rsidR="004153C4" w:rsidRPr="001F2624">
        <w:rPr>
          <w:rFonts w:asciiTheme="majorBidi" w:hAnsiTheme="majorBidi" w:cstheme="majorBidi"/>
        </w:rPr>
        <w:t>cted using</w:t>
      </w:r>
      <w:r w:rsidRPr="001F2624">
        <w:rPr>
          <w:rFonts w:asciiTheme="majorBidi" w:hAnsiTheme="majorBidi" w:cstheme="majorBidi"/>
        </w:rPr>
        <w:t xml:space="preserve"> a product-based L.C. instruction. ACG had an additional introduction of the metacognitive strategies every session as well. This equaled the whole-class process-based discussion of EG1 where 3 strategies were explicitly introduced every session</w:t>
      </w:r>
      <w:r w:rsidR="004153C4" w:rsidRPr="001F2624">
        <w:rPr>
          <w:rFonts w:asciiTheme="majorBidi" w:hAnsiTheme="majorBidi" w:cstheme="majorBidi"/>
        </w:rPr>
        <w:t xml:space="preserve"> minus discussion and reflection</w:t>
      </w:r>
      <w:r w:rsidRPr="001F2624">
        <w:rPr>
          <w:rFonts w:asciiTheme="majorBidi" w:hAnsiTheme="majorBidi" w:cstheme="majorBidi"/>
        </w:rPr>
        <w:t>. Participa</w:t>
      </w:r>
      <w:r w:rsidR="004153C4" w:rsidRPr="001F2624">
        <w:rPr>
          <w:rFonts w:asciiTheme="majorBidi" w:hAnsiTheme="majorBidi" w:cstheme="majorBidi"/>
        </w:rPr>
        <w:t>nts in both control groups</w:t>
      </w:r>
      <w:r w:rsidRPr="001F2624">
        <w:rPr>
          <w:rFonts w:asciiTheme="majorBidi" w:hAnsiTheme="majorBidi" w:cstheme="majorBidi"/>
        </w:rPr>
        <w:t xml:space="preserve"> listen</w:t>
      </w:r>
      <w:r w:rsidR="004153C4" w:rsidRPr="001F2624">
        <w:rPr>
          <w:rFonts w:asciiTheme="majorBidi" w:hAnsiTheme="majorBidi" w:cstheme="majorBidi"/>
        </w:rPr>
        <w:t>ed</w:t>
      </w:r>
      <w:r w:rsidRPr="001F2624">
        <w:rPr>
          <w:rFonts w:asciiTheme="majorBidi" w:hAnsiTheme="majorBidi" w:cstheme="majorBidi"/>
        </w:rPr>
        <w:t xml:space="preserve"> to the audios and work on the same comprehension activities. There were no formal prediction activities and neither of the groups was engaged in discussion and evaluation of their comprehension</w:t>
      </w:r>
      <w:r w:rsidR="004153C4" w:rsidRPr="001F2624">
        <w:rPr>
          <w:rFonts w:asciiTheme="majorBidi" w:hAnsiTheme="majorBidi" w:cstheme="majorBidi"/>
        </w:rPr>
        <w:t xml:space="preserve"> in a strategic way and c</w:t>
      </w:r>
      <w:r w:rsidRPr="001F2624">
        <w:rPr>
          <w:rFonts w:asciiTheme="majorBidi" w:hAnsiTheme="majorBidi" w:cstheme="majorBidi"/>
        </w:rPr>
        <w:t>lasses would sum up with a discussion on the ideas involved in the listening text. Both groups were assigned product-based homework at the end of the class.</w:t>
      </w:r>
    </w:p>
    <w:p w14:paraId="4EAB075C" w14:textId="77777777" w:rsidR="00142372" w:rsidRPr="001F2624" w:rsidRDefault="00151932" w:rsidP="0019078C">
      <w:pPr>
        <w:spacing w:after="120" w:line="240" w:lineRule="auto"/>
        <w:jc w:val="both"/>
        <w:rPr>
          <w:rFonts w:asciiTheme="majorBidi" w:hAnsiTheme="majorBidi" w:cstheme="majorBidi"/>
          <w:b/>
          <w:bCs/>
        </w:rPr>
      </w:pPr>
      <w:r>
        <w:rPr>
          <w:rFonts w:asciiTheme="majorBidi" w:hAnsiTheme="majorBidi" w:cstheme="majorBidi"/>
          <w:b/>
          <w:bCs/>
        </w:rPr>
        <w:t xml:space="preserve">4. </w:t>
      </w:r>
      <w:r w:rsidR="00142372" w:rsidRPr="001F2624">
        <w:rPr>
          <w:rFonts w:asciiTheme="majorBidi" w:hAnsiTheme="majorBidi" w:cstheme="majorBidi"/>
          <w:b/>
          <w:bCs/>
        </w:rPr>
        <w:t>Results</w:t>
      </w:r>
    </w:p>
    <w:p w14:paraId="12462AF8" w14:textId="77777777" w:rsidR="00142372"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To answer the research questions, the collected data was subject to ANCOVA, where the level of significance was set at ρ &lt; .05. Before running the </w:t>
      </w:r>
      <w:r w:rsidR="009B433F" w:rsidRPr="001F2624">
        <w:rPr>
          <w:rFonts w:asciiTheme="majorBidi" w:hAnsiTheme="majorBidi" w:cstheme="majorBidi"/>
        </w:rPr>
        <w:t>test,</w:t>
      </w:r>
      <w:r w:rsidRPr="001F2624">
        <w:rPr>
          <w:rFonts w:asciiTheme="majorBidi" w:hAnsiTheme="majorBidi" w:cstheme="majorBidi"/>
        </w:rPr>
        <w:t xml:space="preserve"> the general assumptions of normality of distribution were checked for PET listening section, FCE listening section and Self-regulation in L.C. pre and post test scores. The values of skewness and kurtosis of the total scores of all tests were limited to ± 1.814 so normal univariate distribution on all of them was proved. Also, homogeneity of regression slopes </w:t>
      </w:r>
      <w:r w:rsidR="009B433F" w:rsidRPr="001F2624">
        <w:rPr>
          <w:rFonts w:asciiTheme="majorBidi" w:hAnsiTheme="majorBidi" w:cstheme="majorBidi"/>
        </w:rPr>
        <w:t>was</w:t>
      </w:r>
      <w:r w:rsidRPr="001F2624">
        <w:rPr>
          <w:rFonts w:asciiTheme="majorBidi" w:hAnsiTheme="majorBidi" w:cstheme="majorBidi"/>
        </w:rPr>
        <w:t xml:space="preserve"> not violated on any of the aforementioned scores so normal distribution of all pre- and posttest scores was confirmed. Table 1 presents descriptive statistics on all scores of the 4 groups.</w:t>
      </w:r>
    </w:p>
    <w:p w14:paraId="28EB2EB5" w14:textId="77777777" w:rsidR="00B474CA" w:rsidRPr="001F2624" w:rsidRDefault="00B474CA" w:rsidP="003973ED">
      <w:pPr>
        <w:spacing w:after="120" w:line="240" w:lineRule="auto"/>
        <w:ind w:left="115" w:right="72" w:firstLine="562"/>
        <w:jc w:val="both"/>
        <w:rPr>
          <w:rFonts w:asciiTheme="majorBidi" w:hAnsiTheme="majorBidi" w:cstheme="majorBidi"/>
        </w:rPr>
      </w:pPr>
    </w:p>
    <w:p w14:paraId="616B9B96" w14:textId="77777777" w:rsidR="00142372" w:rsidRPr="001F2624" w:rsidRDefault="00142372" w:rsidP="00151932">
      <w:pPr>
        <w:spacing w:after="120" w:line="240" w:lineRule="auto"/>
        <w:jc w:val="center"/>
        <w:rPr>
          <w:rFonts w:asciiTheme="majorBidi" w:hAnsiTheme="majorBidi" w:cstheme="majorBidi"/>
        </w:rPr>
      </w:pPr>
      <w:r w:rsidRPr="001F2624">
        <w:rPr>
          <w:rFonts w:asciiTheme="majorBidi" w:hAnsiTheme="majorBidi" w:cstheme="majorBidi"/>
        </w:rPr>
        <w:t xml:space="preserve">Table </w:t>
      </w:r>
      <w:r w:rsidR="00151932" w:rsidRPr="001F2624">
        <w:rPr>
          <w:rFonts w:asciiTheme="majorBidi" w:hAnsiTheme="majorBidi" w:cstheme="majorBidi"/>
        </w:rPr>
        <w:t>1</w:t>
      </w:r>
      <w:r w:rsidR="00151932">
        <w:rPr>
          <w:rFonts w:asciiTheme="majorBidi" w:hAnsiTheme="majorBidi" w:cstheme="majorBidi"/>
        </w:rPr>
        <w:t xml:space="preserve">: </w:t>
      </w:r>
      <w:r w:rsidR="004153C4" w:rsidRPr="001F2624">
        <w:rPr>
          <w:rFonts w:asciiTheme="majorBidi" w:hAnsiTheme="majorBidi" w:cstheme="majorBidi"/>
        </w:rPr>
        <w:t xml:space="preserve">Descriptive </w:t>
      </w:r>
      <w:r w:rsidR="00151932" w:rsidRPr="001F2624">
        <w:rPr>
          <w:rFonts w:asciiTheme="majorBidi" w:hAnsiTheme="majorBidi" w:cstheme="majorBidi"/>
        </w:rPr>
        <w:t xml:space="preserve">Statistics </w:t>
      </w:r>
      <w:r w:rsidR="00151932">
        <w:rPr>
          <w:rFonts w:asciiTheme="majorBidi" w:hAnsiTheme="majorBidi" w:cstheme="majorBidi"/>
        </w:rPr>
        <w:t>on</w:t>
      </w:r>
      <w:r w:rsidR="00151932" w:rsidRPr="001F2624">
        <w:rPr>
          <w:rFonts w:asciiTheme="majorBidi" w:hAnsiTheme="majorBidi" w:cstheme="majorBidi"/>
        </w:rPr>
        <w:t xml:space="preserve"> </w:t>
      </w:r>
      <w:r w:rsidR="004153C4" w:rsidRPr="001F2624">
        <w:rPr>
          <w:rFonts w:asciiTheme="majorBidi" w:hAnsiTheme="majorBidi" w:cstheme="majorBidi"/>
        </w:rPr>
        <w:t>PET</w:t>
      </w:r>
      <w:r w:rsidR="00151932" w:rsidRPr="001F2624">
        <w:rPr>
          <w:rFonts w:asciiTheme="majorBidi" w:hAnsiTheme="majorBidi" w:cstheme="majorBidi"/>
        </w:rPr>
        <w:t xml:space="preserve">, </w:t>
      </w:r>
      <w:r w:rsidR="004153C4" w:rsidRPr="001F2624">
        <w:rPr>
          <w:rFonts w:asciiTheme="majorBidi" w:hAnsiTheme="majorBidi" w:cstheme="majorBidi"/>
        </w:rPr>
        <w:t xml:space="preserve">FCE </w:t>
      </w:r>
      <w:r w:rsidR="00151932">
        <w:rPr>
          <w:rFonts w:asciiTheme="majorBidi" w:hAnsiTheme="majorBidi" w:cstheme="majorBidi"/>
        </w:rPr>
        <w:t>and</w:t>
      </w:r>
      <w:r w:rsidR="00151932" w:rsidRPr="001F2624">
        <w:rPr>
          <w:rFonts w:asciiTheme="majorBidi" w:hAnsiTheme="majorBidi" w:cstheme="majorBidi"/>
        </w:rPr>
        <w:t xml:space="preserve"> Self-</w:t>
      </w:r>
      <w:r w:rsidR="00151932">
        <w:rPr>
          <w:rFonts w:asciiTheme="majorBidi" w:hAnsiTheme="majorBidi" w:cstheme="majorBidi"/>
        </w:rPr>
        <w:t>r</w:t>
      </w:r>
      <w:r w:rsidR="00151932" w:rsidRPr="001F2624">
        <w:rPr>
          <w:rFonts w:asciiTheme="majorBidi" w:hAnsiTheme="majorBidi" w:cstheme="majorBidi"/>
        </w:rPr>
        <w:t xml:space="preserve">egulation </w:t>
      </w:r>
      <w:r w:rsidR="00151932">
        <w:rPr>
          <w:rFonts w:asciiTheme="majorBidi" w:hAnsiTheme="majorBidi" w:cstheme="majorBidi"/>
        </w:rPr>
        <w:t>in</w:t>
      </w:r>
      <w:r w:rsidR="00151932" w:rsidRPr="001F2624">
        <w:rPr>
          <w:rFonts w:asciiTheme="majorBidi" w:hAnsiTheme="majorBidi" w:cstheme="majorBidi"/>
        </w:rPr>
        <w:t xml:space="preserve"> </w:t>
      </w:r>
      <w:r w:rsidR="004153C4" w:rsidRPr="001F2624">
        <w:rPr>
          <w:rFonts w:asciiTheme="majorBidi" w:hAnsiTheme="majorBidi" w:cstheme="majorBidi"/>
        </w:rPr>
        <w:t>L</w:t>
      </w:r>
      <w:r w:rsidR="00151932" w:rsidRPr="001F2624">
        <w:rPr>
          <w:rFonts w:asciiTheme="majorBidi" w:hAnsiTheme="majorBidi" w:cstheme="majorBidi"/>
        </w:rPr>
        <w:t>.</w:t>
      </w:r>
      <w:r w:rsidR="004153C4" w:rsidRPr="001F2624">
        <w:rPr>
          <w:rFonts w:asciiTheme="majorBidi" w:hAnsiTheme="majorBidi" w:cstheme="majorBidi"/>
        </w:rPr>
        <w:t>C</w:t>
      </w:r>
      <w:r w:rsidR="00151932" w:rsidRPr="001F2624">
        <w:rPr>
          <w:rFonts w:asciiTheme="majorBidi" w:hAnsiTheme="majorBidi" w:cstheme="majorBidi"/>
        </w:rPr>
        <w:t xml:space="preserve">. Scores </w:t>
      </w:r>
      <w:r w:rsidR="00151932">
        <w:rPr>
          <w:rFonts w:asciiTheme="majorBidi" w:hAnsiTheme="majorBidi" w:cstheme="majorBidi"/>
        </w:rPr>
        <w:t>of</w:t>
      </w:r>
      <w:r w:rsidR="00151932" w:rsidRPr="001F2624">
        <w:rPr>
          <w:rFonts w:asciiTheme="majorBidi" w:hAnsiTheme="majorBidi" w:cstheme="majorBidi"/>
        </w:rPr>
        <w:t xml:space="preserve"> </w:t>
      </w:r>
      <w:r w:rsidR="00151932">
        <w:rPr>
          <w:rFonts w:asciiTheme="majorBidi" w:hAnsiTheme="majorBidi" w:cstheme="majorBidi"/>
        </w:rPr>
        <w:t>the</w:t>
      </w:r>
      <w:r w:rsidR="00151932" w:rsidRPr="001F2624">
        <w:rPr>
          <w:rFonts w:asciiTheme="majorBidi" w:hAnsiTheme="majorBidi" w:cstheme="majorBidi"/>
        </w:rPr>
        <w:t xml:space="preserve"> 4 Groups</w:t>
      </w:r>
    </w:p>
    <w:tbl>
      <w:tblPr>
        <w:tblStyle w:val="TableGrid"/>
        <w:tblW w:w="7629" w:type="dxa"/>
        <w:jc w:val="center"/>
        <w:tblLook w:val="04A0" w:firstRow="1" w:lastRow="0" w:firstColumn="1" w:lastColumn="0" w:noHBand="0" w:noVBand="1"/>
      </w:tblPr>
      <w:tblGrid>
        <w:gridCol w:w="699"/>
        <w:gridCol w:w="1363"/>
        <w:gridCol w:w="1479"/>
        <w:gridCol w:w="943"/>
        <w:gridCol w:w="1101"/>
        <w:gridCol w:w="943"/>
        <w:gridCol w:w="1101"/>
      </w:tblGrid>
      <w:tr w:rsidR="00142372" w:rsidRPr="00EE4A21" w14:paraId="2FEEE542" w14:textId="77777777" w:rsidTr="00151932">
        <w:trPr>
          <w:trHeight w:val="274"/>
          <w:jc w:val="center"/>
        </w:trPr>
        <w:tc>
          <w:tcPr>
            <w:tcW w:w="0" w:type="auto"/>
            <w:tcBorders>
              <w:top w:val="single" w:sz="12" w:space="0" w:color="000000" w:themeColor="text1"/>
              <w:left w:val="nil"/>
              <w:bottom w:val="nil"/>
              <w:right w:val="nil"/>
            </w:tcBorders>
            <w:vAlign w:val="center"/>
          </w:tcPr>
          <w:p w14:paraId="783CAE6B"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12" w:space="0" w:color="000000" w:themeColor="text1"/>
              <w:left w:val="nil"/>
              <w:bottom w:val="nil"/>
              <w:right w:val="nil"/>
            </w:tcBorders>
            <w:vAlign w:val="center"/>
          </w:tcPr>
          <w:p w14:paraId="4AFC3269"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12" w:space="0" w:color="000000" w:themeColor="text1"/>
              <w:left w:val="nil"/>
              <w:bottom w:val="nil"/>
              <w:right w:val="nil"/>
            </w:tcBorders>
            <w:vAlign w:val="center"/>
          </w:tcPr>
          <w:p w14:paraId="4826C394" w14:textId="77777777" w:rsidR="00142372" w:rsidRPr="00EE4A21" w:rsidRDefault="00142372" w:rsidP="0019078C">
            <w:pPr>
              <w:spacing w:after="120"/>
              <w:jc w:val="both"/>
              <w:rPr>
                <w:rFonts w:asciiTheme="majorBidi" w:hAnsiTheme="majorBidi" w:cstheme="majorBidi"/>
                <w:sz w:val="20"/>
                <w:szCs w:val="20"/>
              </w:rPr>
            </w:pPr>
          </w:p>
        </w:tc>
        <w:tc>
          <w:tcPr>
            <w:tcW w:w="0" w:type="auto"/>
            <w:gridSpan w:val="2"/>
            <w:tcBorders>
              <w:top w:val="single" w:sz="12" w:space="0" w:color="000000" w:themeColor="text1"/>
              <w:left w:val="nil"/>
              <w:bottom w:val="single" w:sz="12" w:space="0" w:color="000000" w:themeColor="text1"/>
              <w:right w:val="nil"/>
            </w:tcBorders>
            <w:vAlign w:val="center"/>
          </w:tcPr>
          <w:p w14:paraId="1229F20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Skewness</w:t>
            </w:r>
          </w:p>
        </w:tc>
        <w:tc>
          <w:tcPr>
            <w:tcW w:w="0" w:type="auto"/>
            <w:gridSpan w:val="2"/>
            <w:tcBorders>
              <w:top w:val="single" w:sz="12" w:space="0" w:color="000000" w:themeColor="text1"/>
              <w:left w:val="nil"/>
              <w:bottom w:val="single" w:sz="12" w:space="0" w:color="000000" w:themeColor="text1"/>
              <w:right w:val="nil"/>
            </w:tcBorders>
            <w:vAlign w:val="center"/>
          </w:tcPr>
          <w:p w14:paraId="6E36307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Kurtosis</w:t>
            </w:r>
          </w:p>
        </w:tc>
      </w:tr>
      <w:tr w:rsidR="00142372" w:rsidRPr="00EE4A21" w14:paraId="40E44BD1" w14:textId="77777777" w:rsidTr="00151932">
        <w:trPr>
          <w:trHeight w:val="308"/>
          <w:jc w:val="center"/>
        </w:trPr>
        <w:tc>
          <w:tcPr>
            <w:tcW w:w="0" w:type="auto"/>
            <w:tcBorders>
              <w:top w:val="nil"/>
              <w:left w:val="nil"/>
              <w:bottom w:val="single" w:sz="12" w:space="0" w:color="000000" w:themeColor="text1"/>
              <w:right w:val="nil"/>
            </w:tcBorders>
            <w:vAlign w:val="center"/>
          </w:tcPr>
          <w:p w14:paraId="7ADDD124"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12" w:space="0" w:color="000000" w:themeColor="text1"/>
              <w:right w:val="nil"/>
            </w:tcBorders>
            <w:vAlign w:val="center"/>
          </w:tcPr>
          <w:p w14:paraId="2AAD4CD0"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12" w:space="0" w:color="000000" w:themeColor="text1"/>
              <w:right w:val="nil"/>
            </w:tcBorders>
            <w:vAlign w:val="center"/>
          </w:tcPr>
          <w:p w14:paraId="55688F6B"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Mean (S.D.)</w:t>
            </w:r>
          </w:p>
        </w:tc>
        <w:tc>
          <w:tcPr>
            <w:tcW w:w="0" w:type="auto"/>
            <w:tcBorders>
              <w:top w:val="single" w:sz="12" w:space="0" w:color="000000" w:themeColor="text1"/>
              <w:left w:val="nil"/>
              <w:bottom w:val="single" w:sz="12" w:space="0" w:color="000000" w:themeColor="text1"/>
              <w:right w:val="nil"/>
            </w:tcBorders>
            <w:vAlign w:val="center"/>
          </w:tcPr>
          <w:p w14:paraId="2752DD21"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Statistic</w:t>
            </w:r>
          </w:p>
        </w:tc>
        <w:tc>
          <w:tcPr>
            <w:tcW w:w="0" w:type="auto"/>
            <w:tcBorders>
              <w:top w:val="single" w:sz="12" w:space="0" w:color="000000" w:themeColor="text1"/>
              <w:left w:val="nil"/>
              <w:bottom w:val="single" w:sz="12" w:space="0" w:color="000000" w:themeColor="text1"/>
              <w:right w:val="nil"/>
            </w:tcBorders>
            <w:vAlign w:val="center"/>
          </w:tcPr>
          <w:p w14:paraId="30FA0BF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Std. Error</w:t>
            </w:r>
          </w:p>
        </w:tc>
        <w:tc>
          <w:tcPr>
            <w:tcW w:w="0" w:type="auto"/>
            <w:tcBorders>
              <w:top w:val="single" w:sz="12" w:space="0" w:color="000000" w:themeColor="text1"/>
              <w:left w:val="nil"/>
              <w:bottom w:val="single" w:sz="12" w:space="0" w:color="000000" w:themeColor="text1"/>
              <w:right w:val="nil"/>
            </w:tcBorders>
            <w:vAlign w:val="center"/>
          </w:tcPr>
          <w:p w14:paraId="03AAA9F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Statistic</w:t>
            </w:r>
          </w:p>
        </w:tc>
        <w:tc>
          <w:tcPr>
            <w:tcW w:w="0" w:type="auto"/>
            <w:tcBorders>
              <w:top w:val="single" w:sz="12" w:space="0" w:color="000000" w:themeColor="text1"/>
              <w:left w:val="nil"/>
              <w:bottom w:val="single" w:sz="12" w:space="0" w:color="000000" w:themeColor="text1"/>
              <w:right w:val="nil"/>
            </w:tcBorders>
            <w:vAlign w:val="center"/>
          </w:tcPr>
          <w:p w14:paraId="45469C3B"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Std. Error</w:t>
            </w:r>
          </w:p>
        </w:tc>
      </w:tr>
      <w:tr w:rsidR="00142372" w:rsidRPr="00EE4A21" w14:paraId="2DC90DCB" w14:textId="77777777" w:rsidTr="00151932">
        <w:trPr>
          <w:trHeight w:val="308"/>
          <w:jc w:val="center"/>
        </w:trPr>
        <w:tc>
          <w:tcPr>
            <w:tcW w:w="0" w:type="auto"/>
            <w:tcBorders>
              <w:top w:val="single" w:sz="12" w:space="0" w:color="000000" w:themeColor="text1"/>
              <w:left w:val="nil"/>
              <w:bottom w:val="nil"/>
              <w:right w:val="nil"/>
            </w:tcBorders>
            <w:vAlign w:val="center"/>
          </w:tcPr>
          <w:p w14:paraId="113D563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EG1</w:t>
            </w:r>
          </w:p>
        </w:tc>
        <w:tc>
          <w:tcPr>
            <w:tcW w:w="0" w:type="auto"/>
            <w:tcBorders>
              <w:top w:val="single" w:sz="12" w:space="0" w:color="000000" w:themeColor="text1"/>
              <w:left w:val="nil"/>
              <w:bottom w:val="nil"/>
              <w:right w:val="nil"/>
            </w:tcBorders>
            <w:vAlign w:val="center"/>
          </w:tcPr>
          <w:p w14:paraId="7922164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pretest</w:t>
            </w:r>
          </w:p>
        </w:tc>
        <w:tc>
          <w:tcPr>
            <w:tcW w:w="0" w:type="auto"/>
            <w:tcBorders>
              <w:top w:val="single" w:sz="12" w:space="0" w:color="000000" w:themeColor="text1"/>
              <w:left w:val="nil"/>
              <w:bottom w:val="nil"/>
              <w:right w:val="nil"/>
            </w:tcBorders>
            <w:vAlign w:val="center"/>
          </w:tcPr>
          <w:p w14:paraId="2BBEBEB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175.41(23.61)</w:t>
            </w:r>
          </w:p>
        </w:tc>
        <w:tc>
          <w:tcPr>
            <w:tcW w:w="0" w:type="auto"/>
            <w:tcBorders>
              <w:top w:val="single" w:sz="12" w:space="0" w:color="000000" w:themeColor="text1"/>
              <w:left w:val="nil"/>
              <w:bottom w:val="nil"/>
              <w:right w:val="nil"/>
            </w:tcBorders>
            <w:vAlign w:val="center"/>
          </w:tcPr>
          <w:p w14:paraId="4FA799F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.254</w:t>
            </w:r>
          </w:p>
        </w:tc>
        <w:tc>
          <w:tcPr>
            <w:tcW w:w="0" w:type="auto"/>
            <w:tcBorders>
              <w:top w:val="single" w:sz="12" w:space="0" w:color="000000" w:themeColor="text1"/>
              <w:left w:val="nil"/>
              <w:bottom w:val="nil"/>
              <w:right w:val="nil"/>
            </w:tcBorders>
            <w:vAlign w:val="center"/>
          </w:tcPr>
          <w:p w14:paraId="6BC9B17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.550</w:t>
            </w:r>
          </w:p>
        </w:tc>
        <w:tc>
          <w:tcPr>
            <w:tcW w:w="0" w:type="auto"/>
            <w:tcBorders>
              <w:top w:val="single" w:sz="12" w:space="0" w:color="000000" w:themeColor="text1"/>
              <w:left w:val="nil"/>
              <w:bottom w:val="nil"/>
              <w:right w:val="nil"/>
            </w:tcBorders>
            <w:vAlign w:val="center"/>
          </w:tcPr>
          <w:p w14:paraId="33AA89F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-1.814</w:t>
            </w:r>
          </w:p>
        </w:tc>
        <w:tc>
          <w:tcPr>
            <w:tcW w:w="0" w:type="auto"/>
            <w:tcBorders>
              <w:top w:val="single" w:sz="12" w:space="0" w:color="000000" w:themeColor="text1"/>
              <w:left w:val="nil"/>
              <w:bottom w:val="nil"/>
              <w:right w:val="nil"/>
            </w:tcBorders>
            <w:vAlign w:val="center"/>
          </w:tcPr>
          <w:p w14:paraId="307C5B5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1.063</w:t>
            </w:r>
          </w:p>
        </w:tc>
      </w:tr>
      <w:tr w:rsidR="00142372" w:rsidRPr="00EE4A21" w14:paraId="20B1E9B3" w14:textId="77777777" w:rsidTr="00151932">
        <w:trPr>
          <w:trHeight w:val="274"/>
          <w:jc w:val="center"/>
        </w:trPr>
        <w:tc>
          <w:tcPr>
            <w:tcW w:w="0" w:type="auto"/>
            <w:tcBorders>
              <w:top w:val="nil"/>
              <w:left w:val="nil"/>
              <w:bottom w:val="nil"/>
              <w:right w:val="nil"/>
            </w:tcBorders>
            <w:vAlign w:val="center"/>
          </w:tcPr>
          <w:p w14:paraId="152301E3"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4" w:space="0" w:color="000000" w:themeColor="text1"/>
              <w:right w:val="nil"/>
            </w:tcBorders>
            <w:vAlign w:val="center"/>
          </w:tcPr>
          <w:p w14:paraId="7B0C0C7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posttest</w:t>
            </w:r>
          </w:p>
        </w:tc>
        <w:tc>
          <w:tcPr>
            <w:tcW w:w="0" w:type="auto"/>
            <w:tcBorders>
              <w:top w:val="nil"/>
              <w:left w:val="nil"/>
              <w:bottom w:val="single" w:sz="4" w:space="0" w:color="000000" w:themeColor="text1"/>
              <w:right w:val="nil"/>
            </w:tcBorders>
            <w:vAlign w:val="center"/>
          </w:tcPr>
          <w:p w14:paraId="184761D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229.47(9.70)</w:t>
            </w:r>
          </w:p>
        </w:tc>
        <w:tc>
          <w:tcPr>
            <w:tcW w:w="0" w:type="auto"/>
            <w:tcBorders>
              <w:top w:val="nil"/>
              <w:left w:val="nil"/>
              <w:bottom w:val="single" w:sz="4" w:space="0" w:color="000000" w:themeColor="text1"/>
              <w:right w:val="nil"/>
            </w:tcBorders>
            <w:vAlign w:val="center"/>
          </w:tcPr>
          <w:p w14:paraId="05812D8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-.818</w:t>
            </w:r>
          </w:p>
        </w:tc>
        <w:tc>
          <w:tcPr>
            <w:tcW w:w="0" w:type="auto"/>
            <w:tcBorders>
              <w:top w:val="nil"/>
              <w:left w:val="nil"/>
              <w:bottom w:val="single" w:sz="4" w:space="0" w:color="000000" w:themeColor="text1"/>
              <w:right w:val="nil"/>
            </w:tcBorders>
            <w:vAlign w:val="center"/>
          </w:tcPr>
          <w:p w14:paraId="47BC654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.550</w:t>
            </w:r>
          </w:p>
        </w:tc>
        <w:tc>
          <w:tcPr>
            <w:tcW w:w="0" w:type="auto"/>
            <w:tcBorders>
              <w:top w:val="nil"/>
              <w:left w:val="nil"/>
              <w:bottom w:val="single" w:sz="4" w:space="0" w:color="000000" w:themeColor="text1"/>
              <w:right w:val="nil"/>
            </w:tcBorders>
            <w:vAlign w:val="center"/>
          </w:tcPr>
          <w:p w14:paraId="2185B7A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.024</w:t>
            </w:r>
          </w:p>
        </w:tc>
        <w:tc>
          <w:tcPr>
            <w:tcW w:w="0" w:type="auto"/>
            <w:tcBorders>
              <w:top w:val="nil"/>
              <w:left w:val="nil"/>
              <w:bottom w:val="single" w:sz="4" w:space="0" w:color="000000" w:themeColor="text1"/>
              <w:right w:val="nil"/>
            </w:tcBorders>
            <w:vAlign w:val="center"/>
          </w:tcPr>
          <w:p w14:paraId="21E31BE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1.063</w:t>
            </w:r>
          </w:p>
        </w:tc>
      </w:tr>
      <w:tr w:rsidR="00142372" w:rsidRPr="00EE4A21" w14:paraId="4E9C13AE" w14:textId="77777777" w:rsidTr="00151932">
        <w:trPr>
          <w:trHeight w:val="274"/>
          <w:jc w:val="center"/>
        </w:trPr>
        <w:tc>
          <w:tcPr>
            <w:tcW w:w="0" w:type="auto"/>
            <w:tcBorders>
              <w:top w:val="nil"/>
              <w:left w:val="nil"/>
              <w:bottom w:val="nil"/>
              <w:right w:val="nil"/>
            </w:tcBorders>
            <w:vAlign w:val="center"/>
          </w:tcPr>
          <w:p w14:paraId="645F32C5"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332B98F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pretest</w:t>
            </w:r>
          </w:p>
        </w:tc>
        <w:tc>
          <w:tcPr>
            <w:tcW w:w="0" w:type="auto"/>
            <w:tcBorders>
              <w:top w:val="single" w:sz="4" w:space="0" w:color="000000" w:themeColor="text1"/>
              <w:left w:val="nil"/>
              <w:bottom w:val="nil"/>
              <w:right w:val="nil"/>
            </w:tcBorders>
            <w:vAlign w:val="center"/>
          </w:tcPr>
          <w:p w14:paraId="2A99118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131.65(14.23)</w:t>
            </w:r>
          </w:p>
        </w:tc>
        <w:tc>
          <w:tcPr>
            <w:tcW w:w="0" w:type="auto"/>
            <w:tcBorders>
              <w:top w:val="single" w:sz="4" w:space="0" w:color="000000" w:themeColor="text1"/>
              <w:left w:val="nil"/>
              <w:bottom w:val="nil"/>
              <w:right w:val="nil"/>
            </w:tcBorders>
            <w:vAlign w:val="center"/>
          </w:tcPr>
          <w:p w14:paraId="4D4340C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-.268</w:t>
            </w:r>
          </w:p>
        </w:tc>
        <w:tc>
          <w:tcPr>
            <w:tcW w:w="0" w:type="auto"/>
            <w:tcBorders>
              <w:top w:val="single" w:sz="4" w:space="0" w:color="000000" w:themeColor="text1"/>
              <w:left w:val="nil"/>
              <w:bottom w:val="nil"/>
              <w:right w:val="nil"/>
            </w:tcBorders>
            <w:vAlign w:val="center"/>
          </w:tcPr>
          <w:p w14:paraId="281954C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.550</w:t>
            </w:r>
          </w:p>
        </w:tc>
        <w:tc>
          <w:tcPr>
            <w:tcW w:w="0" w:type="auto"/>
            <w:tcBorders>
              <w:top w:val="single" w:sz="4" w:space="0" w:color="000000" w:themeColor="text1"/>
              <w:left w:val="nil"/>
              <w:bottom w:val="nil"/>
              <w:right w:val="nil"/>
            </w:tcBorders>
            <w:vAlign w:val="center"/>
          </w:tcPr>
          <w:p w14:paraId="6ED7515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-1.254</w:t>
            </w:r>
          </w:p>
        </w:tc>
        <w:tc>
          <w:tcPr>
            <w:tcW w:w="0" w:type="auto"/>
            <w:tcBorders>
              <w:top w:val="single" w:sz="4" w:space="0" w:color="000000" w:themeColor="text1"/>
              <w:left w:val="nil"/>
              <w:bottom w:val="nil"/>
              <w:right w:val="nil"/>
            </w:tcBorders>
            <w:vAlign w:val="center"/>
          </w:tcPr>
          <w:p w14:paraId="5558E6D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1.063</w:t>
            </w:r>
          </w:p>
        </w:tc>
      </w:tr>
      <w:tr w:rsidR="00142372" w:rsidRPr="00EE4A21" w14:paraId="4908F24C" w14:textId="77777777" w:rsidTr="00151932">
        <w:trPr>
          <w:trHeight w:val="308"/>
          <w:jc w:val="center"/>
        </w:trPr>
        <w:tc>
          <w:tcPr>
            <w:tcW w:w="0" w:type="auto"/>
            <w:tcBorders>
              <w:top w:val="nil"/>
              <w:left w:val="nil"/>
              <w:bottom w:val="nil"/>
              <w:right w:val="nil"/>
            </w:tcBorders>
            <w:vAlign w:val="center"/>
          </w:tcPr>
          <w:p w14:paraId="54ABCAAF"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4" w:space="0" w:color="000000" w:themeColor="text1"/>
              <w:right w:val="nil"/>
            </w:tcBorders>
            <w:vAlign w:val="center"/>
          </w:tcPr>
          <w:p w14:paraId="5D8B788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posttest</w:t>
            </w:r>
          </w:p>
        </w:tc>
        <w:tc>
          <w:tcPr>
            <w:tcW w:w="0" w:type="auto"/>
            <w:tcBorders>
              <w:top w:val="nil"/>
              <w:left w:val="nil"/>
              <w:bottom w:val="single" w:sz="4" w:space="0" w:color="000000" w:themeColor="text1"/>
              <w:right w:val="nil"/>
            </w:tcBorders>
            <w:vAlign w:val="center"/>
          </w:tcPr>
          <w:p w14:paraId="4A9CEFB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147.41(15.12)</w:t>
            </w:r>
          </w:p>
        </w:tc>
        <w:tc>
          <w:tcPr>
            <w:tcW w:w="0" w:type="auto"/>
            <w:tcBorders>
              <w:top w:val="nil"/>
              <w:left w:val="nil"/>
              <w:bottom w:val="single" w:sz="4" w:space="0" w:color="000000" w:themeColor="text1"/>
              <w:right w:val="nil"/>
            </w:tcBorders>
            <w:vAlign w:val="center"/>
          </w:tcPr>
          <w:p w14:paraId="01A65E8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-.178</w:t>
            </w:r>
          </w:p>
        </w:tc>
        <w:tc>
          <w:tcPr>
            <w:tcW w:w="0" w:type="auto"/>
            <w:tcBorders>
              <w:top w:val="nil"/>
              <w:left w:val="nil"/>
              <w:bottom w:val="single" w:sz="4" w:space="0" w:color="000000" w:themeColor="text1"/>
              <w:right w:val="nil"/>
            </w:tcBorders>
            <w:vAlign w:val="center"/>
          </w:tcPr>
          <w:p w14:paraId="66847F2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.550</w:t>
            </w:r>
          </w:p>
        </w:tc>
        <w:tc>
          <w:tcPr>
            <w:tcW w:w="0" w:type="auto"/>
            <w:tcBorders>
              <w:top w:val="nil"/>
              <w:left w:val="nil"/>
              <w:bottom w:val="single" w:sz="4" w:space="0" w:color="000000" w:themeColor="text1"/>
              <w:right w:val="nil"/>
            </w:tcBorders>
            <w:vAlign w:val="center"/>
          </w:tcPr>
          <w:p w14:paraId="041025B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-1.146</w:t>
            </w:r>
          </w:p>
        </w:tc>
        <w:tc>
          <w:tcPr>
            <w:tcW w:w="0" w:type="auto"/>
            <w:tcBorders>
              <w:top w:val="nil"/>
              <w:left w:val="nil"/>
              <w:bottom w:val="single" w:sz="4" w:space="0" w:color="000000" w:themeColor="text1"/>
              <w:right w:val="nil"/>
            </w:tcBorders>
            <w:vAlign w:val="center"/>
          </w:tcPr>
          <w:p w14:paraId="7A8485AB"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1.063</w:t>
            </w:r>
          </w:p>
        </w:tc>
      </w:tr>
      <w:tr w:rsidR="00142372" w:rsidRPr="00EE4A21" w14:paraId="28A7C2CF" w14:textId="77777777" w:rsidTr="00151932">
        <w:trPr>
          <w:trHeight w:val="239"/>
          <w:jc w:val="center"/>
        </w:trPr>
        <w:tc>
          <w:tcPr>
            <w:tcW w:w="0" w:type="auto"/>
            <w:tcBorders>
              <w:top w:val="nil"/>
              <w:left w:val="nil"/>
              <w:bottom w:val="nil"/>
              <w:right w:val="nil"/>
            </w:tcBorders>
            <w:vAlign w:val="center"/>
          </w:tcPr>
          <w:p w14:paraId="77442D24"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0D84AEA0"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pretest</w:t>
            </w:r>
          </w:p>
        </w:tc>
        <w:tc>
          <w:tcPr>
            <w:tcW w:w="0" w:type="auto"/>
            <w:tcBorders>
              <w:top w:val="single" w:sz="4" w:space="0" w:color="000000" w:themeColor="text1"/>
              <w:left w:val="nil"/>
              <w:bottom w:val="nil"/>
              <w:right w:val="nil"/>
            </w:tcBorders>
            <w:vAlign w:val="center"/>
          </w:tcPr>
          <w:p w14:paraId="362BDD0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137.65(16.54)</w:t>
            </w:r>
          </w:p>
        </w:tc>
        <w:tc>
          <w:tcPr>
            <w:tcW w:w="0" w:type="auto"/>
            <w:tcBorders>
              <w:top w:val="single" w:sz="4" w:space="0" w:color="000000" w:themeColor="text1"/>
              <w:left w:val="nil"/>
              <w:bottom w:val="nil"/>
              <w:right w:val="nil"/>
            </w:tcBorders>
            <w:vAlign w:val="center"/>
          </w:tcPr>
          <w:p w14:paraId="4BCA67F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.297</w:t>
            </w:r>
          </w:p>
        </w:tc>
        <w:tc>
          <w:tcPr>
            <w:tcW w:w="0" w:type="auto"/>
            <w:tcBorders>
              <w:top w:val="single" w:sz="4" w:space="0" w:color="000000" w:themeColor="text1"/>
              <w:left w:val="nil"/>
              <w:bottom w:val="nil"/>
              <w:right w:val="nil"/>
            </w:tcBorders>
            <w:vAlign w:val="center"/>
          </w:tcPr>
          <w:p w14:paraId="2F048C6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.550</w:t>
            </w:r>
          </w:p>
        </w:tc>
        <w:tc>
          <w:tcPr>
            <w:tcW w:w="0" w:type="auto"/>
            <w:tcBorders>
              <w:top w:val="single" w:sz="4" w:space="0" w:color="000000" w:themeColor="text1"/>
              <w:left w:val="nil"/>
              <w:bottom w:val="nil"/>
              <w:right w:val="nil"/>
            </w:tcBorders>
            <w:vAlign w:val="center"/>
          </w:tcPr>
          <w:p w14:paraId="5C8B6BC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-1.806</w:t>
            </w:r>
          </w:p>
        </w:tc>
        <w:tc>
          <w:tcPr>
            <w:tcW w:w="0" w:type="auto"/>
            <w:tcBorders>
              <w:top w:val="single" w:sz="4" w:space="0" w:color="000000" w:themeColor="text1"/>
              <w:left w:val="nil"/>
              <w:bottom w:val="nil"/>
              <w:right w:val="nil"/>
            </w:tcBorders>
            <w:vAlign w:val="center"/>
          </w:tcPr>
          <w:p w14:paraId="6BB20CF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1.063</w:t>
            </w:r>
          </w:p>
        </w:tc>
      </w:tr>
      <w:tr w:rsidR="00142372" w:rsidRPr="00EE4A21" w14:paraId="5A5CE476" w14:textId="77777777" w:rsidTr="00151932">
        <w:trPr>
          <w:trHeight w:val="308"/>
          <w:jc w:val="center"/>
        </w:trPr>
        <w:tc>
          <w:tcPr>
            <w:tcW w:w="0" w:type="auto"/>
            <w:tcBorders>
              <w:top w:val="nil"/>
              <w:left w:val="nil"/>
              <w:bottom w:val="single" w:sz="12" w:space="0" w:color="000000" w:themeColor="text1"/>
              <w:right w:val="nil"/>
            </w:tcBorders>
            <w:vAlign w:val="center"/>
          </w:tcPr>
          <w:p w14:paraId="46E954D8"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12" w:space="0" w:color="000000" w:themeColor="text1"/>
              <w:right w:val="nil"/>
            </w:tcBorders>
            <w:vAlign w:val="center"/>
          </w:tcPr>
          <w:p w14:paraId="0068AD8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posttest</w:t>
            </w:r>
          </w:p>
        </w:tc>
        <w:tc>
          <w:tcPr>
            <w:tcW w:w="0" w:type="auto"/>
            <w:tcBorders>
              <w:top w:val="nil"/>
              <w:left w:val="nil"/>
              <w:bottom w:val="single" w:sz="12" w:space="0" w:color="000000" w:themeColor="text1"/>
              <w:right w:val="nil"/>
            </w:tcBorders>
            <w:vAlign w:val="center"/>
          </w:tcPr>
          <w:p w14:paraId="4AD6ADD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151.18(18.06)</w:t>
            </w:r>
          </w:p>
        </w:tc>
        <w:tc>
          <w:tcPr>
            <w:tcW w:w="0" w:type="auto"/>
            <w:tcBorders>
              <w:top w:val="nil"/>
              <w:left w:val="nil"/>
              <w:bottom w:val="single" w:sz="12" w:space="0" w:color="000000" w:themeColor="text1"/>
              <w:right w:val="nil"/>
            </w:tcBorders>
            <w:vAlign w:val="center"/>
          </w:tcPr>
          <w:p w14:paraId="28D83D7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-.156</w:t>
            </w:r>
          </w:p>
        </w:tc>
        <w:tc>
          <w:tcPr>
            <w:tcW w:w="0" w:type="auto"/>
            <w:tcBorders>
              <w:top w:val="nil"/>
              <w:left w:val="nil"/>
              <w:bottom w:val="single" w:sz="12" w:space="0" w:color="000000" w:themeColor="text1"/>
              <w:right w:val="nil"/>
            </w:tcBorders>
            <w:vAlign w:val="center"/>
          </w:tcPr>
          <w:p w14:paraId="0AB9F79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.550</w:t>
            </w:r>
          </w:p>
        </w:tc>
        <w:tc>
          <w:tcPr>
            <w:tcW w:w="0" w:type="auto"/>
            <w:tcBorders>
              <w:top w:val="nil"/>
              <w:left w:val="nil"/>
              <w:bottom w:val="single" w:sz="12" w:space="0" w:color="000000" w:themeColor="text1"/>
              <w:right w:val="nil"/>
            </w:tcBorders>
            <w:vAlign w:val="center"/>
          </w:tcPr>
          <w:p w14:paraId="1B5BFFA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-1.323</w:t>
            </w:r>
          </w:p>
        </w:tc>
        <w:tc>
          <w:tcPr>
            <w:tcW w:w="0" w:type="auto"/>
            <w:tcBorders>
              <w:top w:val="nil"/>
              <w:left w:val="nil"/>
              <w:bottom w:val="single" w:sz="12" w:space="0" w:color="000000" w:themeColor="text1"/>
              <w:right w:val="nil"/>
            </w:tcBorders>
            <w:vAlign w:val="center"/>
          </w:tcPr>
          <w:p w14:paraId="336C3C9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1.063</w:t>
            </w:r>
          </w:p>
        </w:tc>
      </w:tr>
      <w:tr w:rsidR="00142372" w:rsidRPr="00EE4A21" w14:paraId="547FA4EB" w14:textId="77777777" w:rsidTr="00151932">
        <w:trPr>
          <w:trHeight w:val="274"/>
          <w:jc w:val="center"/>
        </w:trPr>
        <w:tc>
          <w:tcPr>
            <w:tcW w:w="0" w:type="auto"/>
            <w:tcBorders>
              <w:top w:val="single" w:sz="12" w:space="0" w:color="000000" w:themeColor="text1"/>
              <w:left w:val="nil"/>
              <w:bottom w:val="nil"/>
              <w:right w:val="nil"/>
            </w:tcBorders>
            <w:vAlign w:val="center"/>
          </w:tcPr>
          <w:p w14:paraId="38B575E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EG2</w:t>
            </w:r>
          </w:p>
        </w:tc>
        <w:tc>
          <w:tcPr>
            <w:tcW w:w="0" w:type="auto"/>
            <w:tcBorders>
              <w:top w:val="single" w:sz="12" w:space="0" w:color="000000" w:themeColor="text1"/>
              <w:left w:val="nil"/>
              <w:bottom w:val="nil"/>
              <w:right w:val="nil"/>
            </w:tcBorders>
            <w:vAlign w:val="center"/>
          </w:tcPr>
          <w:p w14:paraId="247831F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pretest</w:t>
            </w:r>
          </w:p>
        </w:tc>
        <w:tc>
          <w:tcPr>
            <w:tcW w:w="0" w:type="auto"/>
            <w:tcBorders>
              <w:top w:val="single" w:sz="12" w:space="0" w:color="000000" w:themeColor="text1"/>
              <w:left w:val="nil"/>
              <w:bottom w:val="nil"/>
              <w:right w:val="nil"/>
            </w:tcBorders>
            <w:vAlign w:val="center"/>
          </w:tcPr>
          <w:p w14:paraId="3221F340"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216.43(22.75)</w:t>
            </w:r>
          </w:p>
        </w:tc>
        <w:tc>
          <w:tcPr>
            <w:tcW w:w="0" w:type="auto"/>
            <w:tcBorders>
              <w:top w:val="single" w:sz="12" w:space="0" w:color="000000" w:themeColor="text1"/>
              <w:left w:val="nil"/>
              <w:bottom w:val="nil"/>
              <w:right w:val="nil"/>
            </w:tcBorders>
            <w:vAlign w:val="center"/>
          </w:tcPr>
          <w:p w14:paraId="5B7DB74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.886</w:t>
            </w:r>
          </w:p>
        </w:tc>
        <w:tc>
          <w:tcPr>
            <w:tcW w:w="0" w:type="auto"/>
            <w:tcBorders>
              <w:top w:val="single" w:sz="12" w:space="0" w:color="000000" w:themeColor="text1"/>
              <w:left w:val="nil"/>
              <w:bottom w:val="nil"/>
              <w:right w:val="nil"/>
            </w:tcBorders>
            <w:vAlign w:val="center"/>
          </w:tcPr>
          <w:p w14:paraId="00EC7D7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single" w:sz="12" w:space="0" w:color="000000" w:themeColor="text1"/>
              <w:left w:val="nil"/>
              <w:bottom w:val="nil"/>
              <w:right w:val="nil"/>
            </w:tcBorders>
            <w:vAlign w:val="center"/>
          </w:tcPr>
          <w:p w14:paraId="0B95852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-1.248</w:t>
            </w:r>
          </w:p>
        </w:tc>
        <w:tc>
          <w:tcPr>
            <w:tcW w:w="0" w:type="auto"/>
            <w:tcBorders>
              <w:top w:val="single" w:sz="12" w:space="0" w:color="000000" w:themeColor="text1"/>
              <w:left w:val="nil"/>
              <w:bottom w:val="nil"/>
              <w:right w:val="nil"/>
            </w:tcBorders>
            <w:vAlign w:val="center"/>
          </w:tcPr>
          <w:p w14:paraId="022159D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6E734C7B" w14:textId="77777777" w:rsidTr="00151932">
        <w:trPr>
          <w:trHeight w:val="274"/>
          <w:jc w:val="center"/>
        </w:trPr>
        <w:tc>
          <w:tcPr>
            <w:tcW w:w="0" w:type="auto"/>
            <w:tcBorders>
              <w:top w:val="nil"/>
              <w:left w:val="nil"/>
              <w:bottom w:val="nil"/>
              <w:right w:val="nil"/>
            </w:tcBorders>
            <w:vAlign w:val="center"/>
          </w:tcPr>
          <w:p w14:paraId="3FE6A27A"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4" w:space="0" w:color="000000" w:themeColor="text1"/>
              <w:right w:val="nil"/>
            </w:tcBorders>
            <w:vAlign w:val="center"/>
          </w:tcPr>
          <w:p w14:paraId="0DF405F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posttest</w:t>
            </w:r>
          </w:p>
        </w:tc>
        <w:tc>
          <w:tcPr>
            <w:tcW w:w="0" w:type="auto"/>
            <w:tcBorders>
              <w:top w:val="nil"/>
              <w:left w:val="nil"/>
              <w:bottom w:val="single" w:sz="4" w:space="0" w:color="000000" w:themeColor="text1"/>
              <w:right w:val="nil"/>
            </w:tcBorders>
            <w:vAlign w:val="center"/>
          </w:tcPr>
          <w:p w14:paraId="6596119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230.12(28.71)</w:t>
            </w:r>
          </w:p>
        </w:tc>
        <w:tc>
          <w:tcPr>
            <w:tcW w:w="0" w:type="auto"/>
            <w:tcBorders>
              <w:top w:val="nil"/>
              <w:left w:val="nil"/>
              <w:bottom w:val="single" w:sz="4" w:space="0" w:color="000000" w:themeColor="text1"/>
              <w:right w:val="nil"/>
            </w:tcBorders>
            <w:vAlign w:val="center"/>
          </w:tcPr>
          <w:p w14:paraId="492EFDB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.855</w:t>
            </w:r>
          </w:p>
        </w:tc>
        <w:tc>
          <w:tcPr>
            <w:tcW w:w="0" w:type="auto"/>
            <w:tcBorders>
              <w:top w:val="nil"/>
              <w:left w:val="nil"/>
              <w:bottom w:val="single" w:sz="4" w:space="0" w:color="000000" w:themeColor="text1"/>
              <w:right w:val="nil"/>
            </w:tcBorders>
            <w:vAlign w:val="center"/>
          </w:tcPr>
          <w:p w14:paraId="2AC93AF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nil"/>
              <w:left w:val="nil"/>
              <w:bottom w:val="single" w:sz="4" w:space="0" w:color="000000" w:themeColor="text1"/>
              <w:right w:val="nil"/>
            </w:tcBorders>
            <w:vAlign w:val="center"/>
          </w:tcPr>
          <w:p w14:paraId="04E7E08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-1.325</w:t>
            </w:r>
          </w:p>
        </w:tc>
        <w:tc>
          <w:tcPr>
            <w:tcW w:w="0" w:type="auto"/>
            <w:tcBorders>
              <w:top w:val="nil"/>
              <w:left w:val="nil"/>
              <w:bottom w:val="single" w:sz="4" w:space="0" w:color="000000" w:themeColor="text1"/>
              <w:right w:val="nil"/>
            </w:tcBorders>
            <w:vAlign w:val="center"/>
          </w:tcPr>
          <w:p w14:paraId="4E9CBFB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58A001A3" w14:textId="77777777" w:rsidTr="00151932">
        <w:trPr>
          <w:trHeight w:val="274"/>
          <w:jc w:val="center"/>
        </w:trPr>
        <w:tc>
          <w:tcPr>
            <w:tcW w:w="0" w:type="auto"/>
            <w:tcBorders>
              <w:top w:val="nil"/>
              <w:left w:val="nil"/>
              <w:bottom w:val="nil"/>
              <w:right w:val="nil"/>
            </w:tcBorders>
            <w:vAlign w:val="center"/>
          </w:tcPr>
          <w:p w14:paraId="584A00B2"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2A0989C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pretest</w:t>
            </w:r>
          </w:p>
        </w:tc>
        <w:tc>
          <w:tcPr>
            <w:tcW w:w="0" w:type="auto"/>
            <w:tcBorders>
              <w:top w:val="single" w:sz="4" w:space="0" w:color="000000" w:themeColor="text1"/>
              <w:left w:val="nil"/>
              <w:bottom w:val="nil"/>
              <w:right w:val="nil"/>
            </w:tcBorders>
            <w:vAlign w:val="center"/>
          </w:tcPr>
          <w:p w14:paraId="4AF84ED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130.25(3.17)</w:t>
            </w:r>
          </w:p>
        </w:tc>
        <w:tc>
          <w:tcPr>
            <w:tcW w:w="0" w:type="auto"/>
            <w:tcBorders>
              <w:top w:val="single" w:sz="4" w:space="0" w:color="000000" w:themeColor="text1"/>
              <w:left w:val="nil"/>
              <w:bottom w:val="nil"/>
              <w:right w:val="nil"/>
            </w:tcBorders>
            <w:vAlign w:val="center"/>
          </w:tcPr>
          <w:p w14:paraId="32F5985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-1.521</w:t>
            </w:r>
          </w:p>
        </w:tc>
        <w:tc>
          <w:tcPr>
            <w:tcW w:w="0" w:type="auto"/>
            <w:tcBorders>
              <w:top w:val="single" w:sz="4" w:space="0" w:color="000000" w:themeColor="text1"/>
              <w:left w:val="nil"/>
              <w:bottom w:val="nil"/>
              <w:right w:val="nil"/>
            </w:tcBorders>
            <w:vAlign w:val="center"/>
          </w:tcPr>
          <w:p w14:paraId="12E26D0B"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single" w:sz="4" w:space="0" w:color="000000" w:themeColor="text1"/>
              <w:left w:val="nil"/>
              <w:bottom w:val="nil"/>
              <w:right w:val="nil"/>
            </w:tcBorders>
            <w:vAlign w:val="center"/>
          </w:tcPr>
          <w:p w14:paraId="137E0941"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1.061</w:t>
            </w:r>
          </w:p>
        </w:tc>
        <w:tc>
          <w:tcPr>
            <w:tcW w:w="0" w:type="auto"/>
            <w:tcBorders>
              <w:top w:val="single" w:sz="4" w:space="0" w:color="000000" w:themeColor="text1"/>
              <w:left w:val="nil"/>
              <w:bottom w:val="nil"/>
              <w:right w:val="nil"/>
            </w:tcBorders>
            <w:vAlign w:val="center"/>
          </w:tcPr>
          <w:p w14:paraId="6535B650"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5614CDDA" w14:textId="77777777" w:rsidTr="00151932">
        <w:trPr>
          <w:trHeight w:val="308"/>
          <w:jc w:val="center"/>
        </w:trPr>
        <w:tc>
          <w:tcPr>
            <w:tcW w:w="0" w:type="auto"/>
            <w:tcBorders>
              <w:top w:val="nil"/>
              <w:left w:val="nil"/>
              <w:bottom w:val="nil"/>
              <w:right w:val="nil"/>
            </w:tcBorders>
            <w:vAlign w:val="center"/>
          </w:tcPr>
          <w:p w14:paraId="0D6BBD9C"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4" w:space="0" w:color="000000" w:themeColor="text1"/>
              <w:right w:val="nil"/>
            </w:tcBorders>
            <w:vAlign w:val="center"/>
          </w:tcPr>
          <w:p w14:paraId="7955B2A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posttest</w:t>
            </w:r>
          </w:p>
        </w:tc>
        <w:tc>
          <w:tcPr>
            <w:tcW w:w="0" w:type="auto"/>
            <w:tcBorders>
              <w:top w:val="nil"/>
              <w:left w:val="nil"/>
              <w:bottom w:val="single" w:sz="4" w:space="0" w:color="000000" w:themeColor="text1"/>
              <w:right w:val="nil"/>
            </w:tcBorders>
            <w:vAlign w:val="center"/>
          </w:tcPr>
          <w:p w14:paraId="67B3BE9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148.13(3.59)</w:t>
            </w:r>
          </w:p>
        </w:tc>
        <w:tc>
          <w:tcPr>
            <w:tcW w:w="0" w:type="auto"/>
            <w:tcBorders>
              <w:top w:val="nil"/>
              <w:left w:val="nil"/>
              <w:bottom w:val="single" w:sz="4" w:space="0" w:color="000000" w:themeColor="text1"/>
              <w:right w:val="nil"/>
            </w:tcBorders>
            <w:vAlign w:val="center"/>
          </w:tcPr>
          <w:p w14:paraId="75A3352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-1.731</w:t>
            </w:r>
          </w:p>
        </w:tc>
        <w:tc>
          <w:tcPr>
            <w:tcW w:w="0" w:type="auto"/>
            <w:tcBorders>
              <w:top w:val="nil"/>
              <w:left w:val="nil"/>
              <w:bottom w:val="single" w:sz="4" w:space="0" w:color="000000" w:themeColor="text1"/>
              <w:right w:val="nil"/>
            </w:tcBorders>
            <w:vAlign w:val="center"/>
          </w:tcPr>
          <w:p w14:paraId="113B80B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nil"/>
              <w:left w:val="nil"/>
              <w:bottom w:val="single" w:sz="4" w:space="0" w:color="000000" w:themeColor="text1"/>
              <w:right w:val="nil"/>
            </w:tcBorders>
            <w:vAlign w:val="center"/>
          </w:tcPr>
          <w:p w14:paraId="32C510F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1.699</w:t>
            </w:r>
          </w:p>
        </w:tc>
        <w:tc>
          <w:tcPr>
            <w:tcW w:w="0" w:type="auto"/>
            <w:tcBorders>
              <w:top w:val="nil"/>
              <w:left w:val="nil"/>
              <w:bottom w:val="single" w:sz="4" w:space="0" w:color="000000" w:themeColor="text1"/>
              <w:right w:val="nil"/>
            </w:tcBorders>
            <w:vAlign w:val="center"/>
          </w:tcPr>
          <w:p w14:paraId="4D29C26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00B25884" w14:textId="77777777" w:rsidTr="00151932">
        <w:trPr>
          <w:trHeight w:val="239"/>
          <w:jc w:val="center"/>
        </w:trPr>
        <w:tc>
          <w:tcPr>
            <w:tcW w:w="0" w:type="auto"/>
            <w:tcBorders>
              <w:top w:val="nil"/>
              <w:left w:val="nil"/>
              <w:bottom w:val="nil"/>
              <w:right w:val="nil"/>
            </w:tcBorders>
            <w:vAlign w:val="center"/>
          </w:tcPr>
          <w:p w14:paraId="772A0081"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21624CA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pretest</w:t>
            </w:r>
          </w:p>
        </w:tc>
        <w:tc>
          <w:tcPr>
            <w:tcW w:w="0" w:type="auto"/>
            <w:tcBorders>
              <w:top w:val="single" w:sz="4" w:space="0" w:color="000000" w:themeColor="text1"/>
              <w:left w:val="nil"/>
              <w:bottom w:val="nil"/>
              <w:right w:val="nil"/>
            </w:tcBorders>
            <w:vAlign w:val="center"/>
          </w:tcPr>
          <w:p w14:paraId="53244D6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124.31(9.54)</w:t>
            </w:r>
          </w:p>
        </w:tc>
        <w:tc>
          <w:tcPr>
            <w:tcW w:w="0" w:type="auto"/>
            <w:tcBorders>
              <w:top w:val="single" w:sz="4" w:space="0" w:color="000000" w:themeColor="text1"/>
              <w:left w:val="nil"/>
              <w:bottom w:val="nil"/>
              <w:right w:val="nil"/>
            </w:tcBorders>
            <w:vAlign w:val="center"/>
          </w:tcPr>
          <w:p w14:paraId="32BA705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-1.706</w:t>
            </w:r>
          </w:p>
        </w:tc>
        <w:tc>
          <w:tcPr>
            <w:tcW w:w="0" w:type="auto"/>
            <w:tcBorders>
              <w:top w:val="single" w:sz="4" w:space="0" w:color="000000" w:themeColor="text1"/>
              <w:left w:val="nil"/>
              <w:bottom w:val="nil"/>
              <w:right w:val="nil"/>
            </w:tcBorders>
            <w:vAlign w:val="center"/>
          </w:tcPr>
          <w:p w14:paraId="3574801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single" w:sz="4" w:space="0" w:color="000000" w:themeColor="text1"/>
              <w:left w:val="nil"/>
              <w:bottom w:val="nil"/>
              <w:right w:val="nil"/>
            </w:tcBorders>
            <w:vAlign w:val="center"/>
          </w:tcPr>
          <w:p w14:paraId="5163AF7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1.486</w:t>
            </w:r>
          </w:p>
        </w:tc>
        <w:tc>
          <w:tcPr>
            <w:tcW w:w="0" w:type="auto"/>
            <w:tcBorders>
              <w:top w:val="single" w:sz="4" w:space="0" w:color="000000" w:themeColor="text1"/>
              <w:left w:val="nil"/>
              <w:bottom w:val="nil"/>
              <w:right w:val="nil"/>
            </w:tcBorders>
            <w:vAlign w:val="center"/>
          </w:tcPr>
          <w:p w14:paraId="784EC39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4C435B81" w14:textId="77777777" w:rsidTr="00151932">
        <w:trPr>
          <w:trHeight w:val="308"/>
          <w:jc w:val="center"/>
        </w:trPr>
        <w:tc>
          <w:tcPr>
            <w:tcW w:w="0" w:type="auto"/>
            <w:tcBorders>
              <w:top w:val="nil"/>
              <w:left w:val="nil"/>
              <w:bottom w:val="single" w:sz="12" w:space="0" w:color="000000" w:themeColor="text1"/>
              <w:right w:val="nil"/>
            </w:tcBorders>
            <w:vAlign w:val="center"/>
          </w:tcPr>
          <w:p w14:paraId="54FA7FB7"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12" w:space="0" w:color="000000" w:themeColor="text1"/>
              <w:right w:val="nil"/>
            </w:tcBorders>
            <w:vAlign w:val="center"/>
          </w:tcPr>
          <w:p w14:paraId="29027F6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posttest</w:t>
            </w:r>
          </w:p>
        </w:tc>
        <w:tc>
          <w:tcPr>
            <w:tcW w:w="0" w:type="auto"/>
            <w:tcBorders>
              <w:top w:val="nil"/>
              <w:left w:val="nil"/>
              <w:bottom w:val="single" w:sz="12" w:space="0" w:color="000000" w:themeColor="text1"/>
              <w:right w:val="nil"/>
            </w:tcBorders>
            <w:vAlign w:val="center"/>
          </w:tcPr>
          <w:p w14:paraId="5FDF45C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136.88(5.50)</w:t>
            </w:r>
          </w:p>
        </w:tc>
        <w:tc>
          <w:tcPr>
            <w:tcW w:w="0" w:type="auto"/>
            <w:tcBorders>
              <w:top w:val="nil"/>
              <w:left w:val="nil"/>
              <w:bottom w:val="single" w:sz="12" w:space="0" w:color="000000" w:themeColor="text1"/>
              <w:right w:val="nil"/>
            </w:tcBorders>
            <w:vAlign w:val="center"/>
          </w:tcPr>
          <w:p w14:paraId="13849A3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-.132</w:t>
            </w:r>
          </w:p>
        </w:tc>
        <w:tc>
          <w:tcPr>
            <w:tcW w:w="0" w:type="auto"/>
            <w:tcBorders>
              <w:top w:val="nil"/>
              <w:left w:val="nil"/>
              <w:bottom w:val="single" w:sz="12" w:space="0" w:color="000000" w:themeColor="text1"/>
              <w:right w:val="nil"/>
            </w:tcBorders>
            <w:vAlign w:val="center"/>
          </w:tcPr>
          <w:p w14:paraId="611D0F4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nil"/>
              <w:left w:val="nil"/>
              <w:bottom w:val="single" w:sz="12" w:space="0" w:color="000000" w:themeColor="text1"/>
              <w:right w:val="nil"/>
            </w:tcBorders>
            <w:vAlign w:val="center"/>
          </w:tcPr>
          <w:p w14:paraId="32E0658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-1.660</w:t>
            </w:r>
          </w:p>
        </w:tc>
        <w:tc>
          <w:tcPr>
            <w:tcW w:w="0" w:type="auto"/>
            <w:tcBorders>
              <w:top w:val="nil"/>
              <w:left w:val="nil"/>
              <w:bottom w:val="single" w:sz="12" w:space="0" w:color="000000" w:themeColor="text1"/>
              <w:right w:val="nil"/>
            </w:tcBorders>
            <w:vAlign w:val="center"/>
          </w:tcPr>
          <w:p w14:paraId="65A37EC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5AFD24DD" w14:textId="77777777" w:rsidTr="00151932">
        <w:trPr>
          <w:trHeight w:val="274"/>
          <w:jc w:val="center"/>
        </w:trPr>
        <w:tc>
          <w:tcPr>
            <w:tcW w:w="0" w:type="auto"/>
            <w:tcBorders>
              <w:top w:val="single" w:sz="12" w:space="0" w:color="000000" w:themeColor="text1"/>
              <w:left w:val="nil"/>
              <w:bottom w:val="nil"/>
              <w:right w:val="nil"/>
            </w:tcBorders>
            <w:vAlign w:val="center"/>
          </w:tcPr>
          <w:p w14:paraId="4F1A3B1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ACG</w:t>
            </w:r>
          </w:p>
        </w:tc>
        <w:tc>
          <w:tcPr>
            <w:tcW w:w="0" w:type="auto"/>
            <w:tcBorders>
              <w:top w:val="single" w:sz="12" w:space="0" w:color="000000" w:themeColor="text1"/>
              <w:left w:val="nil"/>
              <w:bottom w:val="nil"/>
              <w:right w:val="nil"/>
            </w:tcBorders>
            <w:vAlign w:val="center"/>
          </w:tcPr>
          <w:p w14:paraId="3C59589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pretest</w:t>
            </w:r>
          </w:p>
        </w:tc>
        <w:tc>
          <w:tcPr>
            <w:tcW w:w="0" w:type="auto"/>
            <w:tcBorders>
              <w:top w:val="single" w:sz="12" w:space="0" w:color="000000" w:themeColor="text1"/>
              <w:left w:val="nil"/>
              <w:bottom w:val="nil"/>
              <w:right w:val="nil"/>
            </w:tcBorders>
            <w:vAlign w:val="center"/>
          </w:tcPr>
          <w:p w14:paraId="4AA8690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198.07(36.08)</w:t>
            </w:r>
          </w:p>
        </w:tc>
        <w:tc>
          <w:tcPr>
            <w:tcW w:w="0" w:type="auto"/>
            <w:tcBorders>
              <w:top w:val="single" w:sz="12" w:space="0" w:color="000000" w:themeColor="text1"/>
              <w:left w:val="nil"/>
              <w:bottom w:val="nil"/>
              <w:right w:val="nil"/>
            </w:tcBorders>
            <w:vAlign w:val="center"/>
          </w:tcPr>
          <w:p w14:paraId="39D2190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-.018</w:t>
            </w:r>
          </w:p>
        </w:tc>
        <w:tc>
          <w:tcPr>
            <w:tcW w:w="0" w:type="auto"/>
            <w:tcBorders>
              <w:top w:val="single" w:sz="12" w:space="0" w:color="000000" w:themeColor="text1"/>
              <w:left w:val="nil"/>
              <w:bottom w:val="nil"/>
              <w:right w:val="nil"/>
            </w:tcBorders>
            <w:vAlign w:val="center"/>
          </w:tcPr>
          <w:p w14:paraId="4C16A8B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.597</w:t>
            </w:r>
          </w:p>
        </w:tc>
        <w:tc>
          <w:tcPr>
            <w:tcW w:w="0" w:type="auto"/>
            <w:tcBorders>
              <w:top w:val="single" w:sz="12" w:space="0" w:color="000000" w:themeColor="text1"/>
              <w:left w:val="nil"/>
              <w:bottom w:val="nil"/>
              <w:right w:val="nil"/>
            </w:tcBorders>
            <w:vAlign w:val="center"/>
          </w:tcPr>
          <w:p w14:paraId="1C541EE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-1.035</w:t>
            </w:r>
          </w:p>
        </w:tc>
        <w:tc>
          <w:tcPr>
            <w:tcW w:w="0" w:type="auto"/>
            <w:tcBorders>
              <w:top w:val="single" w:sz="12" w:space="0" w:color="000000" w:themeColor="text1"/>
              <w:left w:val="nil"/>
              <w:bottom w:val="nil"/>
              <w:right w:val="nil"/>
            </w:tcBorders>
            <w:vAlign w:val="center"/>
          </w:tcPr>
          <w:p w14:paraId="6233096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1.154</w:t>
            </w:r>
          </w:p>
        </w:tc>
      </w:tr>
      <w:tr w:rsidR="00142372" w:rsidRPr="00EE4A21" w14:paraId="0882C041" w14:textId="77777777" w:rsidTr="00151932">
        <w:trPr>
          <w:trHeight w:val="274"/>
          <w:jc w:val="center"/>
        </w:trPr>
        <w:tc>
          <w:tcPr>
            <w:tcW w:w="0" w:type="auto"/>
            <w:tcBorders>
              <w:top w:val="nil"/>
              <w:left w:val="nil"/>
              <w:bottom w:val="nil"/>
              <w:right w:val="nil"/>
            </w:tcBorders>
            <w:vAlign w:val="center"/>
          </w:tcPr>
          <w:p w14:paraId="3C7C07B4"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4" w:space="0" w:color="000000" w:themeColor="text1"/>
              <w:right w:val="nil"/>
            </w:tcBorders>
            <w:vAlign w:val="center"/>
          </w:tcPr>
          <w:p w14:paraId="7D4060E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posttest</w:t>
            </w:r>
          </w:p>
        </w:tc>
        <w:tc>
          <w:tcPr>
            <w:tcW w:w="0" w:type="auto"/>
            <w:tcBorders>
              <w:top w:val="nil"/>
              <w:left w:val="nil"/>
              <w:bottom w:val="single" w:sz="4" w:space="0" w:color="000000" w:themeColor="text1"/>
              <w:right w:val="nil"/>
            </w:tcBorders>
            <w:vAlign w:val="center"/>
          </w:tcPr>
          <w:p w14:paraId="29D34A7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197.35(44.07)</w:t>
            </w:r>
          </w:p>
        </w:tc>
        <w:tc>
          <w:tcPr>
            <w:tcW w:w="0" w:type="auto"/>
            <w:tcBorders>
              <w:top w:val="nil"/>
              <w:left w:val="nil"/>
              <w:bottom w:val="single" w:sz="4" w:space="0" w:color="000000" w:themeColor="text1"/>
              <w:right w:val="nil"/>
            </w:tcBorders>
            <w:vAlign w:val="center"/>
          </w:tcPr>
          <w:p w14:paraId="29DBFC6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.807</w:t>
            </w:r>
          </w:p>
        </w:tc>
        <w:tc>
          <w:tcPr>
            <w:tcW w:w="0" w:type="auto"/>
            <w:tcBorders>
              <w:top w:val="nil"/>
              <w:left w:val="nil"/>
              <w:bottom w:val="single" w:sz="4" w:space="0" w:color="000000" w:themeColor="text1"/>
              <w:right w:val="nil"/>
            </w:tcBorders>
            <w:vAlign w:val="center"/>
          </w:tcPr>
          <w:p w14:paraId="776F31C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.597</w:t>
            </w:r>
          </w:p>
        </w:tc>
        <w:tc>
          <w:tcPr>
            <w:tcW w:w="0" w:type="auto"/>
            <w:tcBorders>
              <w:top w:val="nil"/>
              <w:left w:val="nil"/>
              <w:bottom w:val="single" w:sz="4" w:space="0" w:color="000000" w:themeColor="text1"/>
              <w:right w:val="nil"/>
            </w:tcBorders>
            <w:vAlign w:val="center"/>
          </w:tcPr>
          <w:p w14:paraId="7FD616E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-1.190</w:t>
            </w:r>
          </w:p>
        </w:tc>
        <w:tc>
          <w:tcPr>
            <w:tcW w:w="0" w:type="auto"/>
            <w:tcBorders>
              <w:top w:val="nil"/>
              <w:left w:val="nil"/>
              <w:bottom w:val="single" w:sz="4" w:space="0" w:color="000000" w:themeColor="text1"/>
              <w:right w:val="nil"/>
            </w:tcBorders>
            <w:vAlign w:val="center"/>
          </w:tcPr>
          <w:p w14:paraId="533A8EB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1.154</w:t>
            </w:r>
          </w:p>
        </w:tc>
      </w:tr>
      <w:tr w:rsidR="00142372" w:rsidRPr="00EE4A21" w14:paraId="600308DC" w14:textId="77777777" w:rsidTr="00151932">
        <w:trPr>
          <w:trHeight w:val="274"/>
          <w:jc w:val="center"/>
        </w:trPr>
        <w:tc>
          <w:tcPr>
            <w:tcW w:w="0" w:type="auto"/>
            <w:tcBorders>
              <w:top w:val="nil"/>
              <w:left w:val="nil"/>
              <w:bottom w:val="nil"/>
              <w:right w:val="nil"/>
            </w:tcBorders>
            <w:vAlign w:val="center"/>
          </w:tcPr>
          <w:p w14:paraId="1B163E0E"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3F575AA8"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pretest</w:t>
            </w:r>
          </w:p>
        </w:tc>
        <w:tc>
          <w:tcPr>
            <w:tcW w:w="0" w:type="auto"/>
            <w:tcBorders>
              <w:top w:val="single" w:sz="4" w:space="0" w:color="000000" w:themeColor="text1"/>
              <w:left w:val="nil"/>
              <w:bottom w:val="nil"/>
              <w:right w:val="nil"/>
            </w:tcBorders>
            <w:vAlign w:val="center"/>
          </w:tcPr>
          <w:p w14:paraId="153DA20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119.71(7.01)</w:t>
            </w:r>
          </w:p>
        </w:tc>
        <w:tc>
          <w:tcPr>
            <w:tcW w:w="0" w:type="auto"/>
            <w:tcBorders>
              <w:top w:val="single" w:sz="4" w:space="0" w:color="000000" w:themeColor="text1"/>
              <w:left w:val="nil"/>
              <w:bottom w:val="nil"/>
              <w:right w:val="nil"/>
            </w:tcBorders>
            <w:vAlign w:val="center"/>
          </w:tcPr>
          <w:p w14:paraId="787D5C20"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.426</w:t>
            </w:r>
          </w:p>
        </w:tc>
        <w:tc>
          <w:tcPr>
            <w:tcW w:w="0" w:type="auto"/>
            <w:tcBorders>
              <w:top w:val="single" w:sz="4" w:space="0" w:color="000000" w:themeColor="text1"/>
              <w:left w:val="nil"/>
              <w:bottom w:val="nil"/>
              <w:right w:val="nil"/>
            </w:tcBorders>
            <w:vAlign w:val="center"/>
          </w:tcPr>
          <w:p w14:paraId="7C442E4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.597</w:t>
            </w:r>
          </w:p>
        </w:tc>
        <w:tc>
          <w:tcPr>
            <w:tcW w:w="0" w:type="auto"/>
            <w:tcBorders>
              <w:top w:val="single" w:sz="4" w:space="0" w:color="000000" w:themeColor="text1"/>
              <w:left w:val="nil"/>
              <w:bottom w:val="nil"/>
              <w:right w:val="nil"/>
            </w:tcBorders>
            <w:vAlign w:val="center"/>
          </w:tcPr>
          <w:p w14:paraId="5EB1821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-1.542</w:t>
            </w:r>
          </w:p>
        </w:tc>
        <w:tc>
          <w:tcPr>
            <w:tcW w:w="0" w:type="auto"/>
            <w:tcBorders>
              <w:top w:val="single" w:sz="4" w:space="0" w:color="000000" w:themeColor="text1"/>
              <w:left w:val="nil"/>
              <w:bottom w:val="nil"/>
              <w:right w:val="nil"/>
            </w:tcBorders>
            <w:vAlign w:val="center"/>
          </w:tcPr>
          <w:p w14:paraId="5AD95E4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1.154</w:t>
            </w:r>
          </w:p>
        </w:tc>
      </w:tr>
      <w:tr w:rsidR="00142372" w:rsidRPr="00EE4A21" w14:paraId="20C98E79" w14:textId="77777777" w:rsidTr="00151932">
        <w:trPr>
          <w:trHeight w:val="308"/>
          <w:jc w:val="center"/>
        </w:trPr>
        <w:tc>
          <w:tcPr>
            <w:tcW w:w="0" w:type="auto"/>
            <w:tcBorders>
              <w:top w:val="nil"/>
              <w:left w:val="nil"/>
              <w:bottom w:val="nil"/>
              <w:right w:val="nil"/>
            </w:tcBorders>
            <w:vAlign w:val="center"/>
          </w:tcPr>
          <w:p w14:paraId="6F77C0CD"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4" w:space="0" w:color="000000" w:themeColor="text1"/>
              <w:right w:val="nil"/>
            </w:tcBorders>
            <w:vAlign w:val="center"/>
          </w:tcPr>
          <w:p w14:paraId="602C735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posttest</w:t>
            </w:r>
          </w:p>
        </w:tc>
        <w:tc>
          <w:tcPr>
            <w:tcW w:w="0" w:type="auto"/>
            <w:tcBorders>
              <w:top w:val="nil"/>
              <w:left w:val="nil"/>
              <w:bottom w:val="single" w:sz="4" w:space="0" w:color="000000" w:themeColor="text1"/>
              <w:right w:val="nil"/>
            </w:tcBorders>
            <w:vAlign w:val="center"/>
          </w:tcPr>
          <w:p w14:paraId="24523FB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127.50(10.47)</w:t>
            </w:r>
          </w:p>
        </w:tc>
        <w:tc>
          <w:tcPr>
            <w:tcW w:w="0" w:type="auto"/>
            <w:tcBorders>
              <w:top w:val="nil"/>
              <w:left w:val="nil"/>
              <w:bottom w:val="single" w:sz="4" w:space="0" w:color="000000" w:themeColor="text1"/>
              <w:right w:val="nil"/>
            </w:tcBorders>
            <w:vAlign w:val="center"/>
          </w:tcPr>
          <w:p w14:paraId="0262A77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-.097</w:t>
            </w:r>
          </w:p>
        </w:tc>
        <w:tc>
          <w:tcPr>
            <w:tcW w:w="0" w:type="auto"/>
            <w:tcBorders>
              <w:top w:val="nil"/>
              <w:left w:val="nil"/>
              <w:bottom w:val="single" w:sz="4" w:space="0" w:color="000000" w:themeColor="text1"/>
              <w:right w:val="nil"/>
            </w:tcBorders>
            <w:vAlign w:val="center"/>
          </w:tcPr>
          <w:p w14:paraId="1DBF809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.597</w:t>
            </w:r>
          </w:p>
        </w:tc>
        <w:tc>
          <w:tcPr>
            <w:tcW w:w="0" w:type="auto"/>
            <w:tcBorders>
              <w:top w:val="nil"/>
              <w:left w:val="nil"/>
              <w:bottom w:val="single" w:sz="4" w:space="0" w:color="000000" w:themeColor="text1"/>
              <w:right w:val="nil"/>
            </w:tcBorders>
            <w:vAlign w:val="center"/>
          </w:tcPr>
          <w:p w14:paraId="56B4B3B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-1.547</w:t>
            </w:r>
          </w:p>
        </w:tc>
        <w:tc>
          <w:tcPr>
            <w:tcW w:w="0" w:type="auto"/>
            <w:tcBorders>
              <w:top w:val="nil"/>
              <w:left w:val="nil"/>
              <w:bottom w:val="single" w:sz="4" w:space="0" w:color="000000" w:themeColor="text1"/>
              <w:right w:val="nil"/>
            </w:tcBorders>
            <w:vAlign w:val="center"/>
          </w:tcPr>
          <w:p w14:paraId="6D6041C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1.154</w:t>
            </w:r>
          </w:p>
        </w:tc>
      </w:tr>
      <w:tr w:rsidR="00142372" w:rsidRPr="00EE4A21" w14:paraId="1738B5E8" w14:textId="77777777" w:rsidTr="00151932">
        <w:trPr>
          <w:trHeight w:val="239"/>
          <w:jc w:val="center"/>
        </w:trPr>
        <w:tc>
          <w:tcPr>
            <w:tcW w:w="0" w:type="auto"/>
            <w:tcBorders>
              <w:top w:val="nil"/>
              <w:left w:val="nil"/>
              <w:bottom w:val="nil"/>
              <w:right w:val="nil"/>
            </w:tcBorders>
            <w:vAlign w:val="center"/>
          </w:tcPr>
          <w:p w14:paraId="6F6B7D90"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09BCF3B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pretest</w:t>
            </w:r>
          </w:p>
        </w:tc>
        <w:tc>
          <w:tcPr>
            <w:tcW w:w="0" w:type="auto"/>
            <w:tcBorders>
              <w:top w:val="single" w:sz="4" w:space="0" w:color="000000" w:themeColor="text1"/>
              <w:left w:val="nil"/>
              <w:bottom w:val="nil"/>
              <w:right w:val="nil"/>
            </w:tcBorders>
            <w:vAlign w:val="center"/>
          </w:tcPr>
          <w:p w14:paraId="30DDF391"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109.93(7.37)</w:t>
            </w:r>
          </w:p>
        </w:tc>
        <w:tc>
          <w:tcPr>
            <w:tcW w:w="0" w:type="auto"/>
            <w:tcBorders>
              <w:top w:val="single" w:sz="4" w:space="0" w:color="000000" w:themeColor="text1"/>
              <w:left w:val="nil"/>
              <w:bottom w:val="nil"/>
              <w:right w:val="nil"/>
            </w:tcBorders>
            <w:vAlign w:val="center"/>
          </w:tcPr>
          <w:p w14:paraId="4DD5DDD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.729</w:t>
            </w:r>
          </w:p>
        </w:tc>
        <w:tc>
          <w:tcPr>
            <w:tcW w:w="0" w:type="auto"/>
            <w:tcBorders>
              <w:top w:val="single" w:sz="4" w:space="0" w:color="000000" w:themeColor="text1"/>
              <w:left w:val="nil"/>
              <w:bottom w:val="nil"/>
              <w:right w:val="nil"/>
            </w:tcBorders>
            <w:vAlign w:val="center"/>
          </w:tcPr>
          <w:p w14:paraId="20AC449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.597</w:t>
            </w:r>
          </w:p>
        </w:tc>
        <w:tc>
          <w:tcPr>
            <w:tcW w:w="0" w:type="auto"/>
            <w:tcBorders>
              <w:top w:val="single" w:sz="4" w:space="0" w:color="000000" w:themeColor="text1"/>
              <w:left w:val="nil"/>
              <w:bottom w:val="nil"/>
              <w:right w:val="nil"/>
            </w:tcBorders>
            <w:vAlign w:val="center"/>
          </w:tcPr>
          <w:p w14:paraId="0BD12E21"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-.548</w:t>
            </w:r>
          </w:p>
        </w:tc>
        <w:tc>
          <w:tcPr>
            <w:tcW w:w="0" w:type="auto"/>
            <w:tcBorders>
              <w:top w:val="single" w:sz="4" w:space="0" w:color="000000" w:themeColor="text1"/>
              <w:left w:val="nil"/>
              <w:bottom w:val="nil"/>
              <w:right w:val="nil"/>
            </w:tcBorders>
            <w:vAlign w:val="center"/>
          </w:tcPr>
          <w:p w14:paraId="72E35B7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1.154</w:t>
            </w:r>
          </w:p>
        </w:tc>
      </w:tr>
      <w:tr w:rsidR="00142372" w:rsidRPr="00EE4A21" w14:paraId="72B98570" w14:textId="77777777" w:rsidTr="00151932">
        <w:trPr>
          <w:trHeight w:val="308"/>
          <w:jc w:val="center"/>
        </w:trPr>
        <w:tc>
          <w:tcPr>
            <w:tcW w:w="0" w:type="auto"/>
            <w:tcBorders>
              <w:top w:val="nil"/>
              <w:left w:val="nil"/>
              <w:bottom w:val="single" w:sz="12" w:space="0" w:color="000000" w:themeColor="text1"/>
              <w:right w:val="nil"/>
            </w:tcBorders>
            <w:vAlign w:val="center"/>
          </w:tcPr>
          <w:p w14:paraId="75A73874"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12" w:space="0" w:color="000000" w:themeColor="text1"/>
              <w:right w:val="nil"/>
            </w:tcBorders>
            <w:vAlign w:val="center"/>
          </w:tcPr>
          <w:p w14:paraId="2B2DBCAB"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posttest</w:t>
            </w:r>
          </w:p>
        </w:tc>
        <w:tc>
          <w:tcPr>
            <w:tcW w:w="0" w:type="auto"/>
            <w:tcBorders>
              <w:top w:val="nil"/>
              <w:left w:val="nil"/>
              <w:bottom w:val="single" w:sz="12" w:space="0" w:color="000000" w:themeColor="text1"/>
              <w:right w:val="nil"/>
            </w:tcBorders>
            <w:vAlign w:val="center"/>
          </w:tcPr>
          <w:p w14:paraId="14ABAFC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118.93(10.76)</w:t>
            </w:r>
          </w:p>
        </w:tc>
        <w:tc>
          <w:tcPr>
            <w:tcW w:w="0" w:type="auto"/>
            <w:tcBorders>
              <w:top w:val="nil"/>
              <w:left w:val="nil"/>
              <w:bottom w:val="single" w:sz="12" w:space="0" w:color="000000" w:themeColor="text1"/>
              <w:right w:val="nil"/>
            </w:tcBorders>
            <w:vAlign w:val="center"/>
          </w:tcPr>
          <w:p w14:paraId="1983665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-.04</w:t>
            </w:r>
          </w:p>
        </w:tc>
        <w:tc>
          <w:tcPr>
            <w:tcW w:w="0" w:type="auto"/>
            <w:tcBorders>
              <w:top w:val="nil"/>
              <w:left w:val="nil"/>
              <w:bottom w:val="single" w:sz="12" w:space="0" w:color="000000" w:themeColor="text1"/>
              <w:right w:val="nil"/>
            </w:tcBorders>
            <w:vAlign w:val="center"/>
          </w:tcPr>
          <w:p w14:paraId="60F9296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.597</w:t>
            </w:r>
          </w:p>
        </w:tc>
        <w:tc>
          <w:tcPr>
            <w:tcW w:w="0" w:type="auto"/>
            <w:tcBorders>
              <w:top w:val="nil"/>
              <w:left w:val="nil"/>
              <w:bottom w:val="single" w:sz="12" w:space="0" w:color="000000" w:themeColor="text1"/>
              <w:right w:val="nil"/>
            </w:tcBorders>
            <w:vAlign w:val="center"/>
          </w:tcPr>
          <w:p w14:paraId="51B58D6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-1.603</w:t>
            </w:r>
          </w:p>
        </w:tc>
        <w:tc>
          <w:tcPr>
            <w:tcW w:w="0" w:type="auto"/>
            <w:tcBorders>
              <w:top w:val="nil"/>
              <w:left w:val="nil"/>
              <w:bottom w:val="single" w:sz="12" w:space="0" w:color="000000" w:themeColor="text1"/>
              <w:right w:val="nil"/>
            </w:tcBorders>
            <w:vAlign w:val="center"/>
          </w:tcPr>
          <w:p w14:paraId="3CFDE150"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1.154</w:t>
            </w:r>
          </w:p>
        </w:tc>
      </w:tr>
      <w:tr w:rsidR="00142372" w:rsidRPr="00EE4A21" w14:paraId="0775E588" w14:textId="77777777" w:rsidTr="00151932">
        <w:trPr>
          <w:trHeight w:val="274"/>
          <w:jc w:val="center"/>
        </w:trPr>
        <w:tc>
          <w:tcPr>
            <w:tcW w:w="0" w:type="auto"/>
            <w:tcBorders>
              <w:top w:val="single" w:sz="12" w:space="0" w:color="000000" w:themeColor="text1"/>
              <w:left w:val="nil"/>
              <w:bottom w:val="nil"/>
              <w:right w:val="nil"/>
            </w:tcBorders>
            <w:vAlign w:val="center"/>
          </w:tcPr>
          <w:p w14:paraId="52410F8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PCG</w:t>
            </w:r>
          </w:p>
        </w:tc>
        <w:tc>
          <w:tcPr>
            <w:tcW w:w="0" w:type="auto"/>
            <w:tcBorders>
              <w:top w:val="single" w:sz="12" w:space="0" w:color="000000" w:themeColor="text1"/>
              <w:left w:val="nil"/>
              <w:bottom w:val="nil"/>
              <w:right w:val="nil"/>
            </w:tcBorders>
            <w:vAlign w:val="center"/>
          </w:tcPr>
          <w:p w14:paraId="24FE636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pretest</w:t>
            </w:r>
          </w:p>
        </w:tc>
        <w:tc>
          <w:tcPr>
            <w:tcW w:w="0" w:type="auto"/>
            <w:tcBorders>
              <w:top w:val="single" w:sz="12" w:space="0" w:color="000000" w:themeColor="text1"/>
              <w:left w:val="nil"/>
              <w:bottom w:val="nil"/>
              <w:right w:val="nil"/>
            </w:tcBorders>
            <w:vAlign w:val="center"/>
          </w:tcPr>
          <w:p w14:paraId="4E38FFD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205.31(27.79)</w:t>
            </w:r>
          </w:p>
        </w:tc>
        <w:tc>
          <w:tcPr>
            <w:tcW w:w="0" w:type="auto"/>
            <w:tcBorders>
              <w:top w:val="single" w:sz="12" w:space="0" w:color="000000" w:themeColor="text1"/>
              <w:left w:val="nil"/>
              <w:bottom w:val="nil"/>
              <w:right w:val="nil"/>
            </w:tcBorders>
            <w:vAlign w:val="center"/>
          </w:tcPr>
          <w:p w14:paraId="7BBC0AF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-.986</w:t>
            </w:r>
          </w:p>
        </w:tc>
        <w:tc>
          <w:tcPr>
            <w:tcW w:w="0" w:type="auto"/>
            <w:tcBorders>
              <w:top w:val="single" w:sz="12" w:space="0" w:color="000000" w:themeColor="text1"/>
              <w:left w:val="nil"/>
              <w:bottom w:val="nil"/>
              <w:right w:val="nil"/>
            </w:tcBorders>
            <w:vAlign w:val="center"/>
          </w:tcPr>
          <w:p w14:paraId="77FD651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single" w:sz="12" w:space="0" w:color="000000" w:themeColor="text1"/>
              <w:left w:val="nil"/>
              <w:bottom w:val="nil"/>
              <w:right w:val="nil"/>
            </w:tcBorders>
            <w:vAlign w:val="center"/>
          </w:tcPr>
          <w:p w14:paraId="4F1D238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.007</w:t>
            </w:r>
          </w:p>
        </w:tc>
        <w:tc>
          <w:tcPr>
            <w:tcW w:w="0" w:type="auto"/>
            <w:tcBorders>
              <w:top w:val="single" w:sz="12" w:space="0" w:color="000000" w:themeColor="text1"/>
              <w:left w:val="nil"/>
              <w:bottom w:val="nil"/>
              <w:right w:val="nil"/>
            </w:tcBorders>
            <w:vAlign w:val="center"/>
          </w:tcPr>
          <w:p w14:paraId="2BE83CE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13DE1706" w14:textId="77777777" w:rsidTr="00151932">
        <w:trPr>
          <w:trHeight w:val="274"/>
          <w:jc w:val="center"/>
        </w:trPr>
        <w:tc>
          <w:tcPr>
            <w:tcW w:w="0" w:type="auto"/>
            <w:tcBorders>
              <w:top w:val="nil"/>
              <w:left w:val="nil"/>
              <w:bottom w:val="nil"/>
              <w:right w:val="nil"/>
            </w:tcBorders>
            <w:vAlign w:val="center"/>
          </w:tcPr>
          <w:p w14:paraId="50F343EF"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nil"/>
              <w:right w:val="nil"/>
            </w:tcBorders>
            <w:vAlign w:val="center"/>
          </w:tcPr>
          <w:p w14:paraId="1F82042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SR posttest</w:t>
            </w:r>
          </w:p>
        </w:tc>
        <w:tc>
          <w:tcPr>
            <w:tcW w:w="0" w:type="auto"/>
            <w:tcBorders>
              <w:top w:val="nil"/>
              <w:left w:val="nil"/>
              <w:bottom w:val="nil"/>
              <w:right w:val="nil"/>
            </w:tcBorders>
            <w:vAlign w:val="center"/>
          </w:tcPr>
          <w:p w14:paraId="59E5842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191.50(31.25)</w:t>
            </w:r>
          </w:p>
        </w:tc>
        <w:tc>
          <w:tcPr>
            <w:tcW w:w="0" w:type="auto"/>
            <w:tcBorders>
              <w:top w:val="nil"/>
              <w:left w:val="nil"/>
              <w:bottom w:val="nil"/>
              <w:right w:val="nil"/>
            </w:tcBorders>
            <w:vAlign w:val="center"/>
          </w:tcPr>
          <w:p w14:paraId="550C03B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1.540</w:t>
            </w:r>
          </w:p>
        </w:tc>
        <w:tc>
          <w:tcPr>
            <w:tcW w:w="0" w:type="auto"/>
            <w:tcBorders>
              <w:top w:val="nil"/>
              <w:left w:val="nil"/>
              <w:bottom w:val="nil"/>
              <w:right w:val="nil"/>
            </w:tcBorders>
            <w:vAlign w:val="center"/>
          </w:tcPr>
          <w:p w14:paraId="48F86A9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nil"/>
              <w:left w:val="nil"/>
              <w:bottom w:val="nil"/>
              <w:right w:val="nil"/>
            </w:tcBorders>
            <w:vAlign w:val="center"/>
          </w:tcPr>
          <w:p w14:paraId="7D1ED3A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1.658</w:t>
            </w:r>
          </w:p>
        </w:tc>
        <w:tc>
          <w:tcPr>
            <w:tcW w:w="0" w:type="auto"/>
            <w:tcBorders>
              <w:top w:val="nil"/>
              <w:left w:val="nil"/>
              <w:bottom w:val="nil"/>
              <w:right w:val="nil"/>
            </w:tcBorders>
            <w:vAlign w:val="center"/>
          </w:tcPr>
          <w:p w14:paraId="22AAF74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574E4A43" w14:textId="77777777" w:rsidTr="00151932">
        <w:trPr>
          <w:trHeight w:val="274"/>
          <w:jc w:val="center"/>
        </w:trPr>
        <w:tc>
          <w:tcPr>
            <w:tcW w:w="0" w:type="auto"/>
            <w:tcBorders>
              <w:top w:val="nil"/>
              <w:left w:val="nil"/>
              <w:bottom w:val="nil"/>
              <w:right w:val="nil"/>
            </w:tcBorders>
            <w:vAlign w:val="center"/>
          </w:tcPr>
          <w:p w14:paraId="4A25F0AF"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2C8F498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pretest</w:t>
            </w:r>
          </w:p>
        </w:tc>
        <w:tc>
          <w:tcPr>
            <w:tcW w:w="0" w:type="auto"/>
            <w:tcBorders>
              <w:top w:val="single" w:sz="4" w:space="0" w:color="000000" w:themeColor="text1"/>
              <w:left w:val="nil"/>
              <w:bottom w:val="nil"/>
              <w:right w:val="nil"/>
            </w:tcBorders>
            <w:vAlign w:val="center"/>
          </w:tcPr>
          <w:p w14:paraId="1005C09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123.19(14.47)</w:t>
            </w:r>
          </w:p>
        </w:tc>
        <w:tc>
          <w:tcPr>
            <w:tcW w:w="0" w:type="auto"/>
            <w:tcBorders>
              <w:top w:val="single" w:sz="4" w:space="0" w:color="000000" w:themeColor="text1"/>
              <w:left w:val="nil"/>
              <w:bottom w:val="nil"/>
              <w:right w:val="nil"/>
            </w:tcBorders>
            <w:vAlign w:val="center"/>
          </w:tcPr>
          <w:p w14:paraId="47B9A82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.830</w:t>
            </w:r>
          </w:p>
        </w:tc>
        <w:tc>
          <w:tcPr>
            <w:tcW w:w="0" w:type="auto"/>
            <w:tcBorders>
              <w:top w:val="single" w:sz="4" w:space="0" w:color="000000" w:themeColor="text1"/>
              <w:left w:val="nil"/>
              <w:bottom w:val="nil"/>
              <w:right w:val="nil"/>
            </w:tcBorders>
            <w:vAlign w:val="center"/>
          </w:tcPr>
          <w:p w14:paraId="38740D4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single" w:sz="4" w:space="0" w:color="000000" w:themeColor="text1"/>
              <w:left w:val="nil"/>
              <w:bottom w:val="nil"/>
              <w:right w:val="nil"/>
            </w:tcBorders>
            <w:vAlign w:val="center"/>
          </w:tcPr>
          <w:p w14:paraId="572EFA7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-1.389</w:t>
            </w:r>
          </w:p>
        </w:tc>
        <w:tc>
          <w:tcPr>
            <w:tcW w:w="0" w:type="auto"/>
            <w:tcBorders>
              <w:top w:val="single" w:sz="4" w:space="0" w:color="000000" w:themeColor="text1"/>
              <w:left w:val="nil"/>
              <w:bottom w:val="nil"/>
              <w:right w:val="nil"/>
            </w:tcBorders>
            <w:vAlign w:val="center"/>
          </w:tcPr>
          <w:p w14:paraId="404CA47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379EFC22" w14:textId="77777777" w:rsidTr="00151932">
        <w:trPr>
          <w:trHeight w:val="308"/>
          <w:jc w:val="center"/>
        </w:trPr>
        <w:tc>
          <w:tcPr>
            <w:tcW w:w="0" w:type="auto"/>
            <w:tcBorders>
              <w:top w:val="nil"/>
              <w:left w:val="nil"/>
              <w:bottom w:val="nil"/>
              <w:right w:val="nil"/>
            </w:tcBorders>
            <w:vAlign w:val="center"/>
          </w:tcPr>
          <w:p w14:paraId="7183CECB"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4" w:space="0" w:color="000000" w:themeColor="text1"/>
              <w:right w:val="nil"/>
            </w:tcBorders>
            <w:vAlign w:val="center"/>
          </w:tcPr>
          <w:p w14:paraId="68A13582"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PET posttest</w:t>
            </w:r>
          </w:p>
        </w:tc>
        <w:tc>
          <w:tcPr>
            <w:tcW w:w="0" w:type="auto"/>
            <w:tcBorders>
              <w:top w:val="nil"/>
              <w:left w:val="nil"/>
              <w:bottom w:val="single" w:sz="4" w:space="0" w:color="000000" w:themeColor="text1"/>
              <w:right w:val="nil"/>
            </w:tcBorders>
            <w:vAlign w:val="center"/>
          </w:tcPr>
          <w:p w14:paraId="0B8EAE7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129.06(14.87)</w:t>
            </w:r>
          </w:p>
        </w:tc>
        <w:tc>
          <w:tcPr>
            <w:tcW w:w="0" w:type="auto"/>
            <w:tcBorders>
              <w:top w:val="nil"/>
              <w:left w:val="nil"/>
              <w:bottom w:val="single" w:sz="4" w:space="0" w:color="000000" w:themeColor="text1"/>
              <w:right w:val="nil"/>
            </w:tcBorders>
            <w:vAlign w:val="center"/>
          </w:tcPr>
          <w:p w14:paraId="7BC8F1A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.477</w:t>
            </w:r>
          </w:p>
        </w:tc>
        <w:tc>
          <w:tcPr>
            <w:tcW w:w="0" w:type="auto"/>
            <w:tcBorders>
              <w:top w:val="nil"/>
              <w:left w:val="nil"/>
              <w:bottom w:val="single" w:sz="4" w:space="0" w:color="000000" w:themeColor="text1"/>
              <w:right w:val="nil"/>
            </w:tcBorders>
            <w:vAlign w:val="center"/>
          </w:tcPr>
          <w:p w14:paraId="66ECC59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nil"/>
              <w:left w:val="nil"/>
              <w:bottom w:val="single" w:sz="4" w:space="0" w:color="000000" w:themeColor="text1"/>
              <w:right w:val="nil"/>
            </w:tcBorders>
            <w:vAlign w:val="center"/>
          </w:tcPr>
          <w:p w14:paraId="2464941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-1.511</w:t>
            </w:r>
          </w:p>
        </w:tc>
        <w:tc>
          <w:tcPr>
            <w:tcW w:w="0" w:type="auto"/>
            <w:tcBorders>
              <w:top w:val="nil"/>
              <w:left w:val="nil"/>
              <w:bottom w:val="single" w:sz="4" w:space="0" w:color="000000" w:themeColor="text1"/>
              <w:right w:val="nil"/>
            </w:tcBorders>
            <w:vAlign w:val="center"/>
          </w:tcPr>
          <w:p w14:paraId="4192CBB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7FC0270A" w14:textId="77777777" w:rsidTr="00151932">
        <w:trPr>
          <w:trHeight w:val="239"/>
          <w:jc w:val="center"/>
        </w:trPr>
        <w:tc>
          <w:tcPr>
            <w:tcW w:w="0" w:type="auto"/>
            <w:tcBorders>
              <w:top w:val="nil"/>
              <w:left w:val="nil"/>
              <w:bottom w:val="nil"/>
              <w:right w:val="nil"/>
            </w:tcBorders>
            <w:vAlign w:val="center"/>
          </w:tcPr>
          <w:p w14:paraId="693B8276"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single" w:sz="4" w:space="0" w:color="000000" w:themeColor="text1"/>
              <w:left w:val="nil"/>
              <w:bottom w:val="nil"/>
              <w:right w:val="nil"/>
            </w:tcBorders>
            <w:vAlign w:val="center"/>
          </w:tcPr>
          <w:p w14:paraId="2B08C81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pretest</w:t>
            </w:r>
          </w:p>
        </w:tc>
        <w:tc>
          <w:tcPr>
            <w:tcW w:w="0" w:type="auto"/>
            <w:tcBorders>
              <w:top w:val="single" w:sz="4" w:space="0" w:color="000000" w:themeColor="text1"/>
              <w:left w:val="nil"/>
              <w:bottom w:val="nil"/>
              <w:right w:val="nil"/>
            </w:tcBorders>
            <w:vAlign w:val="center"/>
          </w:tcPr>
          <w:p w14:paraId="0AF1621E"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111.63(7.65)</w:t>
            </w:r>
          </w:p>
        </w:tc>
        <w:tc>
          <w:tcPr>
            <w:tcW w:w="0" w:type="auto"/>
            <w:tcBorders>
              <w:top w:val="single" w:sz="4" w:space="0" w:color="000000" w:themeColor="text1"/>
              <w:left w:val="nil"/>
              <w:bottom w:val="nil"/>
              <w:right w:val="nil"/>
            </w:tcBorders>
            <w:vAlign w:val="center"/>
          </w:tcPr>
          <w:p w14:paraId="694DD61D"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.495</w:t>
            </w:r>
          </w:p>
        </w:tc>
        <w:tc>
          <w:tcPr>
            <w:tcW w:w="0" w:type="auto"/>
            <w:tcBorders>
              <w:top w:val="single" w:sz="4" w:space="0" w:color="000000" w:themeColor="text1"/>
              <w:left w:val="nil"/>
              <w:bottom w:val="nil"/>
              <w:right w:val="nil"/>
            </w:tcBorders>
            <w:vAlign w:val="center"/>
          </w:tcPr>
          <w:p w14:paraId="6A1BFFBB"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single" w:sz="4" w:space="0" w:color="000000" w:themeColor="text1"/>
              <w:left w:val="nil"/>
              <w:bottom w:val="nil"/>
              <w:right w:val="nil"/>
            </w:tcBorders>
            <w:vAlign w:val="center"/>
          </w:tcPr>
          <w:p w14:paraId="4F2EAA0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-1.107</w:t>
            </w:r>
          </w:p>
        </w:tc>
        <w:tc>
          <w:tcPr>
            <w:tcW w:w="0" w:type="auto"/>
            <w:tcBorders>
              <w:top w:val="single" w:sz="4" w:space="0" w:color="000000" w:themeColor="text1"/>
              <w:left w:val="nil"/>
              <w:bottom w:val="nil"/>
              <w:right w:val="nil"/>
            </w:tcBorders>
            <w:vAlign w:val="center"/>
          </w:tcPr>
          <w:p w14:paraId="4C3DF3D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r w:rsidR="00142372" w:rsidRPr="00EE4A21" w14:paraId="6985EF22" w14:textId="77777777" w:rsidTr="00151932">
        <w:trPr>
          <w:trHeight w:val="308"/>
          <w:jc w:val="center"/>
        </w:trPr>
        <w:tc>
          <w:tcPr>
            <w:tcW w:w="0" w:type="auto"/>
            <w:tcBorders>
              <w:top w:val="nil"/>
              <w:left w:val="nil"/>
              <w:bottom w:val="single" w:sz="12" w:space="0" w:color="000000" w:themeColor="text1"/>
              <w:right w:val="nil"/>
            </w:tcBorders>
            <w:vAlign w:val="center"/>
          </w:tcPr>
          <w:p w14:paraId="09A6A3B8" w14:textId="77777777" w:rsidR="00142372" w:rsidRPr="00EE4A21" w:rsidRDefault="00142372" w:rsidP="0019078C">
            <w:pPr>
              <w:spacing w:after="120"/>
              <w:jc w:val="both"/>
              <w:rPr>
                <w:rFonts w:asciiTheme="majorBidi" w:hAnsiTheme="majorBidi" w:cstheme="majorBidi"/>
                <w:sz w:val="20"/>
                <w:szCs w:val="20"/>
              </w:rPr>
            </w:pPr>
          </w:p>
        </w:tc>
        <w:tc>
          <w:tcPr>
            <w:tcW w:w="0" w:type="auto"/>
            <w:tcBorders>
              <w:top w:val="nil"/>
              <w:left w:val="nil"/>
              <w:bottom w:val="single" w:sz="12" w:space="0" w:color="000000" w:themeColor="text1"/>
              <w:right w:val="nil"/>
            </w:tcBorders>
            <w:vAlign w:val="center"/>
          </w:tcPr>
          <w:p w14:paraId="58E391B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FCE posttest</w:t>
            </w:r>
          </w:p>
        </w:tc>
        <w:tc>
          <w:tcPr>
            <w:tcW w:w="0" w:type="auto"/>
            <w:tcBorders>
              <w:top w:val="nil"/>
              <w:left w:val="nil"/>
              <w:bottom w:val="single" w:sz="12" w:space="0" w:color="000000" w:themeColor="text1"/>
              <w:right w:val="nil"/>
            </w:tcBorders>
            <w:vAlign w:val="center"/>
          </w:tcPr>
          <w:p w14:paraId="2D59614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121.44(13.76)</w:t>
            </w:r>
          </w:p>
        </w:tc>
        <w:tc>
          <w:tcPr>
            <w:tcW w:w="0" w:type="auto"/>
            <w:tcBorders>
              <w:top w:val="nil"/>
              <w:left w:val="nil"/>
              <w:bottom w:val="single" w:sz="12" w:space="0" w:color="000000" w:themeColor="text1"/>
              <w:right w:val="nil"/>
            </w:tcBorders>
            <w:vAlign w:val="center"/>
          </w:tcPr>
          <w:p w14:paraId="58F5FE84"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.372</w:t>
            </w:r>
          </w:p>
        </w:tc>
        <w:tc>
          <w:tcPr>
            <w:tcW w:w="0" w:type="auto"/>
            <w:tcBorders>
              <w:top w:val="nil"/>
              <w:left w:val="nil"/>
              <w:bottom w:val="single" w:sz="12" w:space="0" w:color="000000" w:themeColor="text1"/>
              <w:right w:val="nil"/>
            </w:tcBorders>
            <w:vAlign w:val="center"/>
          </w:tcPr>
          <w:p w14:paraId="7031F55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.564</w:t>
            </w:r>
          </w:p>
        </w:tc>
        <w:tc>
          <w:tcPr>
            <w:tcW w:w="0" w:type="auto"/>
            <w:tcBorders>
              <w:top w:val="nil"/>
              <w:left w:val="nil"/>
              <w:bottom w:val="single" w:sz="12" w:space="0" w:color="000000" w:themeColor="text1"/>
              <w:right w:val="nil"/>
            </w:tcBorders>
            <w:vAlign w:val="center"/>
          </w:tcPr>
          <w:p w14:paraId="479E7103"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-1.186</w:t>
            </w:r>
          </w:p>
        </w:tc>
        <w:tc>
          <w:tcPr>
            <w:tcW w:w="0" w:type="auto"/>
            <w:tcBorders>
              <w:top w:val="nil"/>
              <w:left w:val="nil"/>
              <w:bottom w:val="single" w:sz="12" w:space="0" w:color="000000" w:themeColor="text1"/>
              <w:right w:val="nil"/>
            </w:tcBorders>
            <w:vAlign w:val="center"/>
          </w:tcPr>
          <w:p w14:paraId="2462488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1.091</w:t>
            </w:r>
          </w:p>
        </w:tc>
      </w:tr>
    </w:tbl>
    <w:p w14:paraId="5233E81B" w14:textId="77777777" w:rsidR="00B474CA" w:rsidRDefault="00B474CA" w:rsidP="003973ED">
      <w:pPr>
        <w:spacing w:after="120" w:line="240" w:lineRule="auto"/>
        <w:ind w:left="115" w:right="72" w:firstLine="562"/>
        <w:jc w:val="both"/>
        <w:rPr>
          <w:rFonts w:asciiTheme="majorBidi" w:hAnsiTheme="majorBidi" w:cstheme="majorBidi"/>
        </w:rPr>
      </w:pPr>
    </w:p>
    <w:p w14:paraId="2C5C3E35"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The results of Levene’s test also indicated assumptions of homogeneity of variance as met for all tests as it was insignificant for six pre- and posttests of self-regulation in L.C., PET and FCE tests (SR pretest’s Levene’s F(1,61) = .711, ρ &gt; .05 and posttest’s F(1,61) = 1.97, ρ &gt; .05; PET listening section’s pretest’s Levene’s F(1,61) = .345, ρ &gt; .05 and posttest’s F(1,61) = .361, ρ &gt; .05; FCE listening section’s pretest’s Levene’s F(1,61) = .010, ρ &gt; .05 and posttest’s F(1,61) = .658, ρ &gt; .05).</w:t>
      </w:r>
    </w:p>
    <w:p w14:paraId="69CB4E65" w14:textId="77777777" w:rsidR="00781F6A"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Based on acquired homogeneity assumptions, ANCOVA was run to see if group (the intervention each group received) as independent variable has a role in self-regulation in L.C. attainment (self-regulation posttest scores) as dependent variable. Participants’ scores on self-regulation in L.C. pretest were used as a covariate. As table 2 indicates, self-regulation in L.C. </w:t>
      </w:r>
      <w:r w:rsidRPr="001F2624">
        <w:rPr>
          <w:rFonts w:asciiTheme="majorBidi" w:hAnsiTheme="majorBidi" w:cstheme="majorBidi"/>
        </w:rPr>
        <w:lastRenderedPageBreak/>
        <w:t xml:space="preserve">attainment of the participants was significantly predicted by the group and covariate. </w:t>
      </w:r>
      <w:r w:rsidR="009B433F" w:rsidRPr="001F2624">
        <w:rPr>
          <w:rFonts w:asciiTheme="majorBidi" w:hAnsiTheme="majorBidi" w:cstheme="majorBidi"/>
        </w:rPr>
        <w:t>F (</w:t>
      </w:r>
      <w:r w:rsidRPr="001F2624">
        <w:rPr>
          <w:rFonts w:asciiTheme="majorBidi" w:hAnsiTheme="majorBidi" w:cstheme="majorBidi"/>
        </w:rPr>
        <w:t>3, 58) = 17.69, ρ &lt; .001, ƞ</w:t>
      </w:r>
      <w:r w:rsidRPr="003973ED">
        <w:rPr>
          <w:rFonts w:asciiTheme="majorBidi" w:hAnsiTheme="majorBidi" w:cstheme="majorBidi"/>
        </w:rPr>
        <w:t>p2</w:t>
      </w:r>
      <w:r w:rsidRPr="001F2624">
        <w:rPr>
          <w:rFonts w:asciiTheme="majorBidi" w:hAnsiTheme="majorBidi" w:cstheme="majorBidi"/>
        </w:rPr>
        <w:t xml:space="preserve"> = .47.</w:t>
      </w:r>
    </w:p>
    <w:p w14:paraId="378B5C0C" w14:textId="77777777" w:rsidR="00B474CA" w:rsidRDefault="00B474CA" w:rsidP="00151932">
      <w:pPr>
        <w:spacing w:after="120" w:line="240" w:lineRule="auto"/>
        <w:jc w:val="center"/>
        <w:rPr>
          <w:rFonts w:asciiTheme="majorBidi" w:hAnsiTheme="majorBidi" w:cstheme="majorBidi"/>
        </w:rPr>
      </w:pPr>
    </w:p>
    <w:p w14:paraId="78570CA7" w14:textId="77777777" w:rsidR="004153C4" w:rsidRPr="001F2624" w:rsidRDefault="004153C4" w:rsidP="00151932">
      <w:pPr>
        <w:spacing w:after="120" w:line="240" w:lineRule="auto"/>
        <w:jc w:val="center"/>
        <w:rPr>
          <w:rFonts w:asciiTheme="majorBidi" w:hAnsiTheme="majorBidi" w:cstheme="majorBidi"/>
        </w:rPr>
      </w:pPr>
      <w:r w:rsidRPr="001F2624">
        <w:rPr>
          <w:rFonts w:asciiTheme="majorBidi" w:hAnsiTheme="majorBidi" w:cstheme="majorBidi"/>
        </w:rPr>
        <w:t>Table 2</w:t>
      </w:r>
      <w:r w:rsidR="00151932">
        <w:rPr>
          <w:rFonts w:asciiTheme="majorBidi" w:hAnsiTheme="majorBidi" w:cstheme="majorBidi"/>
        </w:rPr>
        <w:t xml:space="preserve">: </w:t>
      </w:r>
      <w:r w:rsidRPr="001F2624">
        <w:rPr>
          <w:rFonts w:asciiTheme="majorBidi" w:eastAsia="Times New Roman" w:hAnsiTheme="majorBidi" w:cstheme="majorBidi"/>
        </w:rPr>
        <w:t xml:space="preserve">ANOVA Test on </w:t>
      </w:r>
      <w:r w:rsidR="00151932">
        <w:rPr>
          <w:rFonts w:asciiTheme="majorBidi" w:eastAsia="Times New Roman" w:hAnsiTheme="majorBidi" w:cstheme="majorBidi"/>
        </w:rPr>
        <w:t>S</w:t>
      </w:r>
      <w:r w:rsidRPr="001F2624">
        <w:rPr>
          <w:rFonts w:asciiTheme="majorBidi" w:eastAsia="Times New Roman" w:hAnsiTheme="majorBidi" w:cstheme="majorBidi"/>
        </w:rPr>
        <w:t xml:space="preserve">elf-regulation </w:t>
      </w:r>
      <w:r w:rsidRPr="001F2624">
        <w:rPr>
          <w:rFonts w:asciiTheme="majorBidi" w:hAnsiTheme="majorBidi" w:cstheme="majorBidi"/>
        </w:rPr>
        <w:t>in L.C.</w:t>
      </w:r>
      <w:r w:rsidRPr="001F2624">
        <w:rPr>
          <w:rFonts w:asciiTheme="majorBidi" w:eastAsia="Times New Roman" w:hAnsiTheme="majorBidi" w:cstheme="majorBidi"/>
        </w:rPr>
        <w:t xml:space="preserve"> by </w:t>
      </w:r>
      <w:r w:rsidR="00151932">
        <w:rPr>
          <w:rFonts w:asciiTheme="majorBidi" w:eastAsia="Times New Roman" w:hAnsiTheme="majorBidi" w:cstheme="majorBidi"/>
        </w:rPr>
        <w:t>C</w:t>
      </w:r>
      <w:r w:rsidRPr="001F2624">
        <w:rPr>
          <w:rFonts w:asciiTheme="majorBidi" w:eastAsia="Times New Roman" w:hAnsiTheme="majorBidi" w:cstheme="majorBidi"/>
        </w:rPr>
        <w:t>ovariate</w:t>
      </w:r>
    </w:p>
    <w:tbl>
      <w:tblPr>
        <w:tblW w:w="8719" w:type="dxa"/>
        <w:jc w:val="center"/>
        <w:tblLook w:val="04A0" w:firstRow="1" w:lastRow="0" w:firstColumn="1" w:lastColumn="0" w:noHBand="0" w:noVBand="1"/>
      </w:tblPr>
      <w:tblGrid>
        <w:gridCol w:w="2020"/>
        <w:gridCol w:w="1646"/>
        <w:gridCol w:w="929"/>
        <w:gridCol w:w="1250"/>
        <w:gridCol w:w="929"/>
        <w:gridCol w:w="929"/>
        <w:gridCol w:w="1016"/>
      </w:tblGrid>
      <w:tr w:rsidR="00142372" w:rsidRPr="00EE4A21" w14:paraId="0A08D176" w14:textId="77777777" w:rsidTr="00151932">
        <w:trPr>
          <w:trHeight w:val="426"/>
          <w:jc w:val="center"/>
        </w:trPr>
        <w:tc>
          <w:tcPr>
            <w:tcW w:w="2020" w:type="dxa"/>
            <w:tcBorders>
              <w:top w:val="single" w:sz="12" w:space="0" w:color="000000"/>
              <w:bottom w:val="single" w:sz="12" w:space="0" w:color="000000"/>
              <w:right w:val="single" w:sz="12" w:space="0" w:color="000000"/>
            </w:tcBorders>
            <w:shd w:val="clear" w:color="auto" w:fill="auto"/>
            <w:vAlign w:val="center"/>
            <w:hideMark/>
          </w:tcPr>
          <w:p w14:paraId="3E8D49C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Source</w:t>
            </w:r>
          </w:p>
        </w:tc>
        <w:tc>
          <w:tcPr>
            <w:tcW w:w="1646" w:type="dxa"/>
            <w:tcBorders>
              <w:top w:val="single" w:sz="12" w:space="0" w:color="000000"/>
              <w:left w:val="nil"/>
              <w:bottom w:val="single" w:sz="12" w:space="0" w:color="000000"/>
            </w:tcBorders>
            <w:shd w:val="clear" w:color="auto" w:fill="auto"/>
            <w:vAlign w:val="center"/>
            <w:hideMark/>
          </w:tcPr>
          <w:p w14:paraId="4D53E202"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Type III Sum of Squares</w:t>
            </w:r>
          </w:p>
        </w:tc>
        <w:tc>
          <w:tcPr>
            <w:tcW w:w="929" w:type="dxa"/>
            <w:tcBorders>
              <w:top w:val="single" w:sz="12" w:space="0" w:color="000000"/>
              <w:bottom w:val="single" w:sz="12" w:space="0" w:color="000000"/>
            </w:tcBorders>
            <w:shd w:val="clear" w:color="auto" w:fill="auto"/>
            <w:vAlign w:val="center"/>
            <w:hideMark/>
          </w:tcPr>
          <w:p w14:paraId="26123F9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df</w:t>
            </w:r>
          </w:p>
        </w:tc>
        <w:tc>
          <w:tcPr>
            <w:tcW w:w="1250" w:type="dxa"/>
            <w:tcBorders>
              <w:top w:val="single" w:sz="12" w:space="0" w:color="000000"/>
              <w:bottom w:val="single" w:sz="12" w:space="0" w:color="000000"/>
            </w:tcBorders>
            <w:shd w:val="clear" w:color="auto" w:fill="auto"/>
            <w:vAlign w:val="center"/>
            <w:hideMark/>
          </w:tcPr>
          <w:p w14:paraId="251E6E0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Mean Square</w:t>
            </w:r>
          </w:p>
        </w:tc>
        <w:tc>
          <w:tcPr>
            <w:tcW w:w="929" w:type="dxa"/>
            <w:tcBorders>
              <w:top w:val="single" w:sz="12" w:space="0" w:color="000000"/>
              <w:bottom w:val="single" w:sz="12" w:space="0" w:color="000000"/>
            </w:tcBorders>
            <w:shd w:val="clear" w:color="auto" w:fill="auto"/>
            <w:vAlign w:val="center"/>
            <w:hideMark/>
          </w:tcPr>
          <w:p w14:paraId="1B6FEB2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F</w:t>
            </w:r>
          </w:p>
        </w:tc>
        <w:tc>
          <w:tcPr>
            <w:tcW w:w="929" w:type="dxa"/>
            <w:tcBorders>
              <w:top w:val="single" w:sz="12" w:space="0" w:color="000000"/>
              <w:bottom w:val="single" w:sz="12" w:space="0" w:color="000000"/>
            </w:tcBorders>
            <w:shd w:val="clear" w:color="auto" w:fill="auto"/>
            <w:vAlign w:val="center"/>
            <w:hideMark/>
          </w:tcPr>
          <w:p w14:paraId="2F9CB3C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Sig.</w:t>
            </w:r>
          </w:p>
        </w:tc>
        <w:tc>
          <w:tcPr>
            <w:tcW w:w="1016" w:type="dxa"/>
            <w:tcBorders>
              <w:top w:val="single" w:sz="12" w:space="0" w:color="000000"/>
              <w:bottom w:val="single" w:sz="12" w:space="0" w:color="000000"/>
            </w:tcBorders>
            <w:shd w:val="clear" w:color="auto" w:fill="auto"/>
            <w:vAlign w:val="center"/>
            <w:hideMark/>
          </w:tcPr>
          <w:p w14:paraId="29AA6C4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Partial Eta Squared</w:t>
            </w:r>
          </w:p>
        </w:tc>
      </w:tr>
      <w:tr w:rsidR="00142372" w:rsidRPr="00EE4A21" w14:paraId="04DFA705" w14:textId="77777777" w:rsidTr="00151932">
        <w:trPr>
          <w:trHeight w:val="426"/>
          <w:jc w:val="center"/>
        </w:trPr>
        <w:tc>
          <w:tcPr>
            <w:tcW w:w="2020" w:type="dxa"/>
            <w:tcBorders>
              <w:top w:val="single" w:sz="12" w:space="0" w:color="000000"/>
              <w:bottom w:val="single" w:sz="12" w:space="0" w:color="000000"/>
              <w:right w:val="single" w:sz="12" w:space="0" w:color="000000"/>
            </w:tcBorders>
            <w:shd w:val="clear" w:color="auto" w:fill="auto"/>
            <w:vAlign w:val="center"/>
            <w:hideMark/>
          </w:tcPr>
          <w:p w14:paraId="0F58646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group</w:t>
            </w:r>
          </w:p>
        </w:tc>
        <w:tc>
          <w:tcPr>
            <w:tcW w:w="1646" w:type="dxa"/>
            <w:tcBorders>
              <w:top w:val="single" w:sz="12" w:space="0" w:color="000000"/>
              <w:left w:val="nil"/>
              <w:bottom w:val="single" w:sz="12" w:space="0" w:color="000000"/>
            </w:tcBorders>
            <w:shd w:val="clear" w:color="auto" w:fill="auto"/>
            <w:noWrap/>
            <w:vAlign w:val="center"/>
            <w:hideMark/>
          </w:tcPr>
          <w:p w14:paraId="4D10704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29267.848</w:t>
            </w:r>
          </w:p>
        </w:tc>
        <w:tc>
          <w:tcPr>
            <w:tcW w:w="929" w:type="dxa"/>
            <w:tcBorders>
              <w:top w:val="single" w:sz="12" w:space="0" w:color="000000"/>
              <w:bottom w:val="single" w:sz="12" w:space="0" w:color="000000"/>
            </w:tcBorders>
            <w:shd w:val="clear" w:color="auto" w:fill="auto"/>
            <w:noWrap/>
            <w:vAlign w:val="center"/>
            <w:hideMark/>
          </w:tcPr>
          <w:p w14:paraId="0AB10C3F"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w:t>
            </w:r>
          </w:p>
        </w:tc>
        <w:tc>
          <w:tcPr>
            <w:tcW w:w="1250" w:type="dxa"/>
            <w:tcBorders>
              <w:top w:val="single" w:sz="12" w:space="0" w:color="000000"/>
              <w:bottom w:val="single" w:sz="12" w:space="0" w:color="000000"/>
            </w:tcBorders>
            <w:shd w:val="clear" w:color="auto" w:fill="auto"/>
            <w:noWrap/>
            <w:vAlign w:val="center"/>
            <w:hideMark/>
          </w:tcPr>
          <w:p w14:paraId="452F914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9755.949</w:t>
            </w:r>
          </w:p>
        </w:tc>
        <w:tc>
          <w:tcPr>
            <w:tcW w:w="929" w:type="dxa"/>
            <w:tcBorders>
              <w:top w:val="single" w:sz="12" w:space="0" w:color="000000"/>
              <w:bottom w:val="single" w:sz="12" w:space="0" w:color="000000"/>
            </w:tcBorders>
            <w:shd w:val="clear" w:color="auto" w:fill="auto"/>
            <w:noWrap/>
            <w:vAlign w:val="center"/>
            <w:hideMark/>
          </w:tcPr>
          <w:p w14:paraId="4CE5E43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17.690</w:t>
            </w:r>
          </w:p>
        </w:tc>
        <w:tc>
          <w:tcPr>
            <w:tcW w:w="929" w:type="dxa"/>
            <w:tcBorders>
              <w:top w:val="single" w:sz="12" w:space="0" w:color="000000"/>
              <w:bottom w:val="single" w:sz="12" w:space="0" w:color="000000"/>
            </w:tcBorders>
            <w:shd w:val="clear" w:color="auto" w:fill="auto"/>
            <w:noWrap/>
            <w:vAlign w:val="center"/>
            <w:hideMark/>
          </w:tcPr>
          <w:p w14:paraId="2A717A2F"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016" w:type="dxa"/>
            <w:tcBorders>
              <w:top w:val="single" w:sz="12" w:space="0" w:color="000000"/>
              <w:bottom w:val="single" w:sz="12" w:space="0" w:color="000000"/>
            </w:tcBorders>
            <w:shd w:val="clear" w:color="auto" w:fill="auto"/>
            <w:noWrap/>
            <w:vAlign w:val="center"/>
            <w:hideMark/>
          </w:tcPr>
          <w:p w14:paraId="5E69333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.478</w:t>
            </w:r>
          </w:p>
        </w:tc>
      </w:tr>
      <w:tr w:rsidR="00142372" w:rsidRPr="00EE4A21" w14:paraId="7A64C43B" w14:textId="77777777" w:rsidTr="00151932">
        <w:trPr>
          <w:trHeight w:val="426"/>
          <w:jc w:val="center"/>
        </w:trPr>
        <w:tc>
          <w:tcPr>
            <w:tcW w:w="8719" w:type="dxa"/>
            <w:gridSpan w:val="7"/>
            <w:tcBorders>
              <w:top w:val="single" w:sz="12" w:space="0" w:color="000000"/>
              <w:bottom w:val="single" w:sz="12" w:space="0" w:color="000000"/>
            </w:tcBorders>
            <w:shd w:val="clear" w:color="auto" w:fill="auto"/>
            <w:hideMark/>
          </w:tcPr>
          <w:p w14:paraId="131727F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a. R Squared = .567 (Adjusted R Squared = .537)</w:t>
            </w:r>
          </w:p>
        </w:tc>
      </w:tr>
    </w:tbl>
    <w:p w14:paraId="06C910A9" w14:textId="77777777" w:rsidR="00142372" w:rsidRPr="001F2624" w:rsidRDefault="00142372" w:rsidP="0019078C">
      <w:pPr>
        <w:spacing w:after="120" w:line="240" w:lineRule="auto"/>
        <w:jc w:val="both"/>
        <w:rPr>
          <w:rFonts w:asciiTheme="majorBidi" w:hAnsiTheme="majorBidi" w:cstheme="majorBidi"/>
        </w:rPr>
      </w:pPr>
    </w:p>
    <w:p w14:paraId="6A90D55F" w14:textId="77777777" w:rsidR="00781F6A"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When the significance of the effect of group was confirmed (ρ &gt; .001), the performance of groups was compared against the performance of PCG through parameters estimates to separately investigate the significance of each. As Table 3 presents, self-regulation in L.C. scores of participants in EG1 (ρ &lt; .001, ƞ</w:t>
      </w:r>
      <w:r w:rsidRPr="003973ED">
        <w:rPr>
          <w:rFonts w:asciiTheme="majorBidi" w:hAnsiTheme="majorBidi" w:cstheme="majorBidi"/>
        </w:rPr>
        <w:t>p2</w:t>
      </w:r>
      <w:r w:rsidRPr="001F2624">
        <w:rPr>
          <w:rFonts w:asciiTheme="majorBidi" w:hAnsiTheme="majorBidi" w:cstheme="majorBidi"/>
        </w:rPr>
        <w:t xml:space="preserve"> = .43) and EG2 (ρ = .001, ƞ</w:t>
      </w:r>
      <w:r w:rsidRPr="003973ED">
        <w:rPr>
          <w:rFonts w:asciiTheme="majorBidi" w:hAnsiTheme="majorBidi" w:cstheme="majorBidi"/>
        </w:rPr>
        <w:t>p2</w:t>
      </w:r>
      <w:r w:rsidRPr="001F2624">
        <w:rPr>
          <w:rFonts w:asciiTheme="majorBidi" w:hAnsiTheme="majorBidi" w:cstheme="majorBidi"/>
        </w:rPr>
        <w:t xml:space="preserve"> = .19) significantly improved compared to the passive control group, with a very large effect size being reported for the intervention EG1 received, while this was only medium for EG2’s intervention. Self-regulation in L.C. attainment was not significant in ACG when compared to PCG (ρ = .212).</w:t>
      </w:r>
    </w:p>
    <w:p w14:paraId="51567D45" w14:textId="77777777" w:rsidR="00142372" w:rsidRPr="001F2624" w:rsidRDefault="00142372" w:rsidP="00151932">
      <w:pPr>
        <w:spacing w:after="120" w:line="240" w:lineRule="auto"/>
        <w:jc w:val="center"/>
        <w:rPr>
          <w:rFonts w:asciiTheme="majorBidi" w:hAnsiTheme="majorBidi" w:cstheme="majorBidi"/>
        </w:rPr>
      </w:pPr>
      <w:r w:rsidRPr="001F2624">
        <w:rPr>
          <w:rFonts w:asciiTheme="majorBidi" w:hAnsiTheme="majorBidi" w:cstheme="majorBidi"/>
        </w:rPr>
        <w:t>Table 3</w:t>
      </w:r>
      <w:r w:rsidR="00151932">
        <w:rPr>
          <w:rFonts w:asciiTheme="majorBidi" w:hAnsiTheme="majorBidi" w:cstheme="majorBidi"/>
        </w:rPr>
        <w:t xml:space="preserve">: </w:t>
      </w:r>
      <w:r w:rsidRPr="001F2624">
        <w:rPr>
          <w:rFonts w:asciiTheme="majorBidi" w:hAnsiTheme="majorBidi" w:cstheme="majorBidi"/>
        </w:rPr>
        <w:t xml:space="preserve">Parameters </w:t>
      </w:r>
      <w:r w:rsidR="00151932" w:rsidRPr="001F2624">
        <w:rPr>
          <w:rFonts w:asciiTheme="majorBidi" w:hAnsiTheme="majorBidi" w:cstheme="majorBidi"/>
        </w:rPr>
        <w:t xml:space="preserve">Estimates </w:t>
      </w:r>
      <w:r w:rsidR="00151932">
        <w:rPr>
          <w:rFonts w:asciiTheme="majorBidi" w:hAnsiTheme="majorBidi" w:cstheme="majorBidi"/>
        </w:rPr>
        <w:t>on the</w:t>
      </w:r>
      <w:r w:rsidR="00151932" w:rsidRPr="001F2624">
        <w:rPr>
          <w:rFonts w:asciiTheme="majorBidi" w:hAnsiTheme="majorBidi" w:cstheme="majorBidi"/>
        </w:rPr>
        <w:t xml:space="preserve"> Effect </w:t>
      </w:r>
      <w:r w:rsidR="00151932">
        <w:rPr>
          <w:rFonts w:asciiTheme="majorBidi" w:hAnsiTheme="majorBidi" w:cstheme="majorBidi"/>
        </w:rPr>
        <w:t>of</w:t>
      </w:r>
      <w:r w:rsidR="00151932" w:rsidRPr="001F2624">
        <w:rPr>
          <w:rFonts w:asciiTheme="majorBidi" w:hAnsiTheme="majorBidi" w:cstheme="majorBidi"/>
        </w:rPr>
        <w:t xml:space="preserve"> Intervention </w:t>
      </w:r>
      <w:r w:rsidR="00151932">
        <w:rPr>
          <w:rFonts w:asciiTheme="majorBidi" w:hAnsiTheme="majorBidi" w:cstheme="majorBidi"/>
        </w:rPr>
        <w:t>on</w:t>
      </w:r>
      <w:r w:rsidR="00151932" w:rsidRPr="001F2624">
        <w:rPr>
          <w:rFonts w:asciiTheme="majorBidi" w:hAnsiTheme="majorBidi" w:cstheme="majorBidi"/>
        </w:rPr>
        <w:t xml:space="preserve"> Self-Regulation</w:t>
      </w:r>
      <w:r w:rsidR="004153C4" w:rsidRPr="001F2624">
        <w:rPr>
          <w:rFonts w:asciiTheme="majorBidi" w:hAnsiTheme="majorBidi" w:cstheme="majorBidi"/>
        </w:rPr>
        <w:t xml:space="preserve"> in L.C.</w:t>
      </w:r>
    </w:p>
    <w:tbl>
      <w:tblPr>
        <w:tblW w:w="8520" w:type="dxa"/>
        <w:jc w:val="center"/>
        <w:tblLook w:val="04A0" w:firstRow="1" w:lastRow="0" w:firstColumn="1" w:lastColumn="0" w:noHBand="0" w:noVBand="1"/>
      </w:tblPr>
      <w:tblGrid>
        <w:gridCol w:w="1123"/>
        <w:gridCol w:w="1200"/>
        <w:gridCol w:w="920"/>
        <w:gridCol w:w="920"/>
        <w:gridCol w:w="920"/>
        <w:gridCol w:w="1169"/>
        <w:gridCol w:w="1134"/>
        <w:gridCol w:w="1134"/>
      </w:tblGrid>
      <w:tr w:rsidR="00142372" w:rsidRPr="00EE4A21" w14:paraId="7314AE0D" w14:textId="77777777" w:rsidTr="00151932">
        <w:trPr>
          <w:trHeight w:val="240"/>
          <w:jc w:val="center"/>
        </w:trPr>
        <w:tc>
          <w:tcPr>
            <w:tcW w:w="1123" w:type="dxa"/>
            <w:vMerge w:val="restart"/>
            <w:tcBorders>
              <w:top w:val="single" w:sz="12" w:space="0" w:color="000000"/>
              <w:bottom w:val="single" w:sz="12" w:space="0" w:color="000000"/>
              <w:right w:val="single" w:sz="12" w:space="0" w:color="000000"/>
            </w:tcBorders>
            <w:shd w:val="clear" w:color="auto" w:fill="auto"/>
            <w:vAlign w:val="bottom"/>
            <w:hideMark/>
          </w:tcPr>
          <w:p w14:paraId="7E109F2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Parameter</w:t>
            </w:r>
          </w:p>
        </w:tc>
        <w:tc>
          <w:tcPr>
            <w:tcW w:w="1200" w:type="dxa"/>
            <w:vMerge w:val="restart"/>
            <w:tcBorders>
              <w:top w:val="single" w:sz="12" w:space="0" w:color="000000"/>
              <w:left w:val="single" w:sz="12" w:space="0" w:color="000000"/>
              <w:bottom w:val="single" w:sz="12" w:space="0" w:color="000000"/>
            </w:tcBorders>
            <w:shd w:val="clear" w:color="auto" w:fill="auto"/>
            <w:vAlign w:val="bottom"/>
            <w:hideMark/>
          </w:tcPr>
          <w:p w14:paraId="5EB661E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B</w:t>
            </w:r>
          </w:p>
        </w:tc>
        <w:tc>
          <w:tcPr>
            <w:tcW w:w="920" w:type="dxa"/>
            <w:vMerge w:val="restart"/>
            <w:tcBorders>
              <w:top w:val="single" w:sz="12" w:space="0" w:color="000000"/>
              <w:bottom w:val="single" w:sz="12" w:space="0" w:color="000000"/>
            </w:tcBorders>
            <w:shd w:val="clear" w:color="auto" w:fill="auto"/>
            <w:vAlign w:val="bottom"/>
            <w:hideMark/>
          </w:tcPr>
          <w:p w14:paraId="15D6A061"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Std. Error</w:t>
            </w:r>
          </w:p>
        </w:tc>
        <w:tc>
          <w:tcPr>
            <w:tcW w:w="920" w:type="dxa"/>
            <w:vMerge w:val="restart"/>
            <w:tcBorders>
              <w:top w:val="single" w:sz="12" w:space="0" w:color="000000"/>
              <w:bottom w:val="single" w:sz="12" w:space="0" w:color="000000"/>
            </w:tcBorders>
            <w:shd w:val="clear" w:color="auto" w:fill="auto"/>
            <w:vAlign w:val="bottom"/>
            <w:hideMark/>
          </w:tcPr>
          <w:p w14:paraId="65D36B53"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t</w:t>
            </w:r>
          </w:p>
        </w:tc>
        <w:tc>
          <w:tcPr>
            <w:tcW w:w="920" w:type="dxa"/>
            <w:vMerge w:val="restart"/>
            <w:tcBorders>
              <w:top w:val="single" w:sz="12" w:space="0" w:color="000000"/>
              <w:bottom w:val="single" w:sz="12" w:space="0" w:color="000000"/>
            </w:tcBorders>
            <w:shd w:val="clear" w:color="auto" w:fill="auto"/>
            <w:vAlign w:val="bottom"/>
            <w:hideMark/>
          </w:tcPr>
          <w:p w14:paraId="7AC930EE"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Sig.</w:t>
            </w:r>
          </w:p>
        </w:tc>
        <w:tc>
          <w:tcPr>
            <w:tcW w:w="2303" w:type="dxa"/>
            <w:gridSpan w:val="2"/>
            <w:tcBorders>
              <w:top w:val="single" w:sz="12" w:space="0" w:color="000000"/>
              <w:bottom w:val="single" w:sz="4" w:space="0" w:color="000000"/>
            </w:tcBorders>
            <w:shd w:val="clear" w:color="auto" w:fill="auto"/>
            <w:vAlign w:val="bottom"/>
            <w:hideMark/>
          </w:tcPr>
          <w:p w14:paraId="13671C3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95% Confidence Interval</w:t>
            </w:r>
          </w:p>
        </w:tc>
        <w:tc>
          <w:tcPr>
            <w:tcW w:w="1134" w:type="dxa"/>
            <w:vMerge w:val="restart"/>
            <w:tcBorders>
              <w:top w:val="single" w:sz="12" w:space="0" w:color="000000"/>
              <w:bottom w:val="single" w:sz="12" w:space="0" w:color="000000"/>
            </w:tcBorders>
            <w:shd w:val="clear" w:color="auto" w:fill="auto"/>
            <w:vAlign w:val="bottom"/>
            <w:hideMark/>
          </w:tcPr>
          <w:p w14:paraId="75B31AB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Partial Eta Squared</w:t>
            </w:r>
          </w:p>
        </w:tc>
      </w:tr>
      <w:tr w:rsidR="00142372" w:rsidRPr="00EE4A21" w14:paraId="5DF0D041" w14:textId="77777777" w:rsidTr="00151932">
        <w:trPr>
          <w:trHeight w:val="240"/>
          <w:jc w:val="center"/>
        </w:trPr>
        <w:tc>
          <w:tcPr>
            <w:tcW w:w="1123" w:type="dxa"/>
            <w:vMerge/>
            <w:tcBorders>
              <w:top w:val="single" w:sz="12" w:space="0" w:color="000000"/>
              <w:bottom w:val="single" w:sz="12" w:space="0" w:color="000000"/>
              <w:right w:val="single" w:sz="12" w:space="0" w:color="000000"/>
            </w:tcBorders>
            <w:vAlign w:val="center"/>
            <w:hideMark/>
          </w:tcPr>
          <w:p w14:paraId="7B662553"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1200" w:type="dxa"/>
            <w:vMerge/>
            <w:tcBorders>
              <w:top w:val="single" w:sz="12" w:space="0" w:color="000000"/>
              <w:left w:val="single" w:sz="12" w:space="0" w:color="000000"/>
              <w:bottom w:val="single" w:sz="12" w:space="0" w:color="000000"/>
            </w:tcBorders>
            <w:vAlign w:val="center"/>
            <w:hideMark/>
          </w:tcPr>
          <w:p w14:paraId="18B2E40E"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920" w:type="dxa"/>
            <w:vMerge/>
            <w:tcBorders>
              <w:top w:val="single" w:sz="12" w:space="0" w:color="000000"/>
              <w:bottom w:val="single" w:sz="12" w:space="0" w:color="000000"/>
            </w:tcBorders>
            <w:vAlign w:val="center"/>
            <w:hideMark/>
          </w:tcPr>
          <w:p w14:paraId="21E3AD2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920" w:type="dxa"/>
            <w:vMerge/>
            <w:tcBorders>
              <w:top w:val="single" w:sz="12" w:space="0" w:color="000000"/>
              <w:bottom w:val="single" w:sz="12" w:space="0" w:color="000000"/>
            </w:tcBorders>
            <w:vAlign w:val="center"/>
            <w:hideMark/>
          </w:tcPr>
          <w:p w14:paraId="36767042"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920" w:type="dxa"/>
            <w:vMerge/>
            <w:tcBorders>
              <w:top w:val="single" w:sz="12" w:space="0" w:color="000000"/>
              <w:bottom w:val="single" w:sz="12" w:space="0" w:color="000000"/>
            </w:tcBorders>
            <w:vAlign w:val="center"/>
            <w:hideMark/>
          </w:tcPr>
          <w:p w14:paraId="78BD6B91"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1169" w:type="dxa"/>
            <w:tcBorders>
              <w:top w:val="nil"/>
              <w:bottom w:val="single" w:sz="12" w:space="0" w:color="000000"/>
            </w:tcBorders>
            <w:shd w:val="clear" w:color="auto" w:fill="auto"/>
            <w:vAlign w:val="bottom"/>
            <w:hideMark/>
          </w:tcPr>
          <w:p w14:paraId="15D4807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Lower Bound</w:t>
            </w:r>
          </w:p>
        </w:tc>
        <w:tc>
          <w:tcPr>
            <w:tcW w:w="1134" w:type="dxa"/>
            <w:tcBorders>
              <w:top w:val="nil"/>
              <w:bottom w:val="single" w:sz="12" w:space="0" w:color="000000"/>
            </w:tcBorders>
            <w:shd w:val="clear" w:color="auto" w:fill="auto"/>
            <w:vAlign w:val="bottom"/>
            <w:hideMark/>
          </w:tcPr>
          <w:p w14:paraId="1451AA41"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Upper Bound</w:t>
            </w:r>
          </w:p>
        </w:tc>
        <w:tc>
          <w:tcPr>
            <w:tcW w:w="1134" w:type="dxa"/>
            <w:vMerge/>
            <w:tcBorders>
              <w:top w:val="single" w:sz="12" w:space="0" w:color="000000"/>
              <w:bottom w:val="single" w:sz="12" w:space="0" w:color="000000"/>
            </w:tcBorders>
            <w:vAlign w:val="center"/>
            <w:hideMark/>
          </w:tcPr>
          <w:p w14:paraId="1BFD429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r>
      <w:tr w:rsidR="00142372" w:rsidRPr="00EE4A21" w14:paraId="233DCCD9" w14:textId="77777777" w:rsidTr="00151932">
        <w:trPr>
          <w:trHeight w:val="240"/>
          <w:jc w:val="center"/>
        </w:trPr>
        <w:tc>
          <w:tcPr>
            <w:tcW w:w="1123" w:type="dxa"/>
            <w:tcBorders>
              <w:top w:val="single" w:sz="4" w:space="0" w:color="000000"/>
              <w:right w:val="single" w:sz="12" w:space="0" w:color="000000"/>
            </w:tcBorders>
            <w:shd w:val="clear" w:color="auto" w:fill="auto"/>
            <w:hideMark/>
          </w:tcPr>
          <w:p w14:paraId="7A72444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EG1</w:t>
            </w:r>
          </w:p>
        </w:tc>
        <w:tc>
          <w:tcPr>
            <w:tcW w:w="1200" w:type="dxa"/>
            <w:tcBorders>
              <w:top w:val="single" w:sz="4" w:space="0" w:color="000000"/>
              <w:left w:val="nil"/>
            </w:tcBorders>
            <w:shd w:val="clear" w:color="auto" w:fill="auto"/>
            <w:noWrap/>
            <w:vAlign w:val="center"/>
            <w:hideMark/>
          </w:tcPr>
          <w:p w14:paraId="0CB30D0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58.732</w:t>
            </w:r>
          </w:p>
        </w:tc>
        <w:tc>
          <w:tcPr>
            <w:tcW w:w="920" w:type="dxa"/>
            <w:tcBorders>
              <w:top w:val="single" w:sz="4" w:space="0" w:color="000000"/>
            </w:tcBorders>
            <w:shd w:val="clear" w:color="auto" w:fill="auto"/>
            <w:noWrap/>
            <w:vAlign w:val="center"/>
            <w:hideMark/>
          </w:tcPr>
          <w:p w14:paraId="4C076AEF"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8.821</w:t>
            </w:r>
          </w:p>
        </w:tc>
        <w:tc>
          <w:tcPr>
            <w:tcW w:w="920" w:type="dxa"/>
            <w:tcBorders>
              <w:top w:val="single" w:sz="4" w:space="0" w:color="000000"/>
            </w:tcBorders>
            <w:shd w:val="clear" w:color="auto" w:fill="auto"/>
            <w:noWrap/>
            <w:vAlign w:val="center"/>
            <w:hideMark/>
          </w:tcPr>
          <w:p w14:paraId="539E1EC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6.658</w:t>
            </w:r>
          </w:p>
        </w:tc>
        <w:tc>
          <w:tcPr>
            <w:tcW w:w="920" w:type="dxa"/>
            <w:tcBorders>
              <w:top w:val="single" w:sz="4" w:space="0" w:color="000000"/>
            </w:tcBorders>
            <w:shd w:val="clear" w:color="auto" w:fill="auto"/>
            <w:noWrap/>
            <w:vAlign w:val="center"/>
            <w:hideMark/>
          </w:tcPr>
          <w:p w14:paraId="74107F5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69" w:type="dxa"/>
            <w:tcBorders>
              <w:top w:val="single" w:sz="4" w:space="0" w:color="000000"/>
            </w:tcBorders>
            <w:shd w:val="clear" w:color="auto" w:fill="auto"/>
            <w:noWrap/>
            <w:vAlign w:val="center"/>
            <w:hideMark/>
          </w:tcPr>
          <w:p w14:paraId="37F29A9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41.075</w:t>
            </w:r>
          </w:p>
        </w:tc>
        <w:tc>
          <w:tcPr>
            <w:tcW w:w="1134" w:type="dxa"/>
            <w:tcBorders>
              <w:top w:val="single" w:sz="4" w:space="0" w:color="000000"/>
            </w:tcBorders>
            <w:shd w:val="clear" w:color="auto" w:fill="auto"/>
            <w:noWrap/>
            <w:vAlign w:val="center"/>
            <w:hideMark/>
          </w:tcPr>
          <w:p w14:paraId="7120F56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76.390</w:t>
            </w:r>
          </w:p>
        </w:tc>
        <w:tc>
          <w:tcPr>
            <w:tcW w:w="1134" w:type="dxa"/>
            <w:tcBorders>
              <w:top w:val="single" w:sz="4" w:space="0" w:color="000000"/>
            </w:tcBorders>
            <w:shd w:val="clear" w:color="auto" w:fill="auto"/>
            <w:noWrap/>
            <w:vAlign w:val="center"/>
            <w:hideMark/>
          </w:tcPr>
          <w:p w14:paraId="1873883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.433</w:t>
            </w:r>
          </w:p>
        </w:tc>
      </w:tr>
      <w:tr w:rsidR="00142372" w:rsidRPr="00EE4A21" w14:paraId="77B5B52F" w14:textId="77777777" w:rsidTr="00151932">
        <w:trPr>
          <w:trHeight w:val="240"/>
          <w:jc w:val="center"/>
        </w:trPr>
        <w:tc>
          <w:tcPr>
            <w:tcW w:w="1123" w:type="dxa"/>
            <w:tcBorders>
              <w:bottom w:val="nil"/>
              <w:right w:val="single" w:sz="12" w:space="0" w:color="000000"/>
            </w:tcBorders>
            <w:shd w:val="clear" w:color="auto" w:fill="auto"/>
            <w:hideMark/>
          </w:tcPr>
          <w:p w14:paraId="14E8680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EG2</w:t>
            </w:r>
          </w:p>
        </w:tc>
        <w:tc>
          <w:tcPr>
            <w:tcW w:w="1200" w:type="dxa"/>
            <w:tcBorders>
              <w:left w:val="nil"/>
              <w:bottom w:val="nil"/>
            </w:tcBorders>
            <w:shd w:val="clear" w:color="auto" w:fill="auto"/>
            <w:noWrap/>
            <w:vAlign w:val="center"/>
            <w:hideMark/>
          </w:tcPr>
          <w:p w14:paraId="32EB2A5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30.900</w:t>
            </w:r>
          </w:p>
        </w:tc>
        <w:tc>
          <w:tcPr>
            <w:tcW w:w="920" w:type="dxa"/>
            <w:tcBorders>
              <w:bottom w:val="nil"/>
            </w:tcBorders>
            <w:shd w:val="clear" w:color="auto" w:fill="auto"/>
            <w:noWrap/>
            <w:vAlign w:val="center"/>
            <w:hideMark/>
          </w:tcPr>
          <w:p w14:paraId="02C4DB2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8.393</w:t>
            </w:r>
          </w:p>
        </w:tc>
        <w:tc>
          <w:tcPr>
            <w:tcW w:w="920" w:type="dxa"/>
            <w:tcBorders>
              <w:bottom w:val="nil"/>
            </w:tcBorders>
            <w:shd w:val="clear" w:color="auto" w:fill="auto"/>
            <w:noWrap/>
            <w:vAlign w:val="center"/>
            <w:hideMark/>
          </w:tcPr>
          <w:p w14:paraId="5517FE7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3.682</w:t>
            </w:r>
          </w:p>
        </w:tc>
        <w:tc>
          <w:tcPr>
            <w:tcW w:w="920" w:type="dxa"/>
            <w:tcBorders>
              <w:bottom w:val="nil"/>
            </w:tcBorders>
            <w:shd w:val="clear" w:color="auto" w:fill="auto"/>
            <w:noWrap/>
            <w:vAlign w:val="center"/>
            <w:hideMark/>
          </w:tcPr>
          <w:p w14:paraId="148A2E3F"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.001</w:t>
            </w:r>
          </w:p>
        </w:tc>
        <w:tc>
          <w:tcPr>
            <w:tcW w:w="1169" w:type="dxa"/>
            <w:tcBorders>
              <w:bottom w:val="nil"/>
            </w:tcBorders>
            <w:shd w:val="clear" w:color="auto" w:fill="auto"/>
            <w:noWrap/>
            <w:vAlign w:val="center"/>
            <w:hideMark/>
          </w:tcPr>
          <w:p w14:paraId="141CD98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14.099</w:t>
            </w:r>
          </w:p>
        </w:tc>
        <w:tc>
          <w:tcPr>
            <w:tcW w:w="1134" w:type="dxa"/>
            <w:tcBorders>
              <w:bottom w:val="nil"/>
            </w:tcBorders>
            <w:shd w:val="clear" w:color="auto" w:fill="auto"/>
            <w:noWrap/>
            <w:vAlign w:val="center"/>
            <w:hideMark/>
          </w:tcPr>
          <w:p w14:paraId="31D254E1"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47.701</w:t>
            </w:r>
          </w:p>
        </w:tc>
        <w:tc>
          <w:tcPr>
            <w:tcW w:w="1134" w:type="dxa"/>
            <w:tcBorders>
              <w:bottom w:val="nil"/>
            </w:tcBorders>
            <w:shd w:val="clear" w:color="auto" w:fill="auto"/>
            <w:noWrap/>
            <w:vAlign w:val="center"/>
            <w:hideMark/>
          </w:tcPr>
          <w:p w14:paraId="6D0F1C1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.189</w:t>
            </w:r>
          </w:p>
        </w:tc>
      </w:tr>
      <w:tr w:rsidR="00142372" w:rsidRPr="00EE4A21" w14:paraId="3B0E72CC" w14:textId="77777777" w:rsidTr="00151932">
        <w:trPr>
          <w:trHeight w:val="240"/>
          <w:jc w:val="center"/>
        </w:trPr>
        <w:tc>
          <w:tcPr>
            <w:tcW w:w="1123" w:type="dxa"/>
            <w:tcBorders>
              <w:top w:val="nil"/>
              <w:bottom w:val="nil"/>
              <w:right w:val="single" w:sz="12" w:space="0" w:color="000000"/>
            </w:tcBorders>
            <w:shd w:val="clear" w:color="auto" w:fill="auto"/>
            <w:hideMark/>
          </w:tcPr>
          <w:p w14:paraId="10F4BEA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ACG</w:t>
            </w:r>
          </w:p>
        </w:tc>
        <w:tc>
          <w:tcPr>
            <w:tcW w:w="1200" w:type="dxa"/>
            <w:tcBorders>
              <w:top w:val="nil"/>
              <w:left w:val="nil"/>
              <w:bottom w:val="nil"/>
            </w:tcBorders>
            <w:shd w:val="clear" w:color="auto" w:fill="auto"/>
            <w:noWrap/>
            <w:vAlign w:val="center"/>
            <w:hideMark/>
          </w:tcPr>
          <w:p w14:paraId="1842691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10.885</w:t>
            </w:r>
          </w:p>
        </w:tc>
        <w:tc>
          <w:tcPr>
            <w:tcW w:w="920" w:type="dxa"/>
            <w:tcBorders>
              <w:top w:val="nil"/>
              <w:bottom w:val="nil"/>
            </w:tcBorders>
            <w:shd w:val="clear" w:color="auto" w:fill="auto"/>
            <w:noWrap/>
            <w:vAlign w:val="center"/>
            <w:hideMark/>
          </w:tcPr>
          <w:p w14:paraId="46C5F36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8.631</w:t>
            </w:r>
          </w:p>
        </w:tc>
        <w:tc>
          <w:tcPr>
            <w:tcW w:w="920" w:type="dxa"/>
            <w:tcBorders>
              <w:top w:val="nil"/>
              <w:bottom w:val="nil"/>
            </w:tcBorders>
            <w:shd w:val="clear" w:color="auto" w:fill="auto"/>
            <w:noWrap/>
            <w:vAlign w:val="center"/>
            <w:hideMark/>
          </w:tcPr>
          <w:p w14:paraId="331715F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1.261</w:t>
            </w:r>
          </w:p>
        </w:tc>
        <w:tc>
          <w:tcPr>
            <w:tcW w:w="920" w:type="dxa"/>
            <w:tcBorders>
              <w:top w:val="nil"/>
              <w:bottom w:val="nil"/>
            </w:tcBorders>
            <w:shd w:val="clear" w:color="auto" w:fill="auto"/>
            <w:noWrap/>
            <w:vAlign w:val="center"/>
            <w:hideMark/>
          </w:tcPr>
          <w:p w14:paraId="17B2D8B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.212</w:t>
            </w:r>
          </w:p>
        </w:tc>
        <w:tc>
          <w:tcPr>
            <w:tcW w:w="1169" w:type="dxa"/>
            <w:tcBorders>
              <w:top w:val="nil"/>
              <w:bottom w:val="nil"/>
            </w:tcBorders>
            <w:shd w:val="clear" w:color="auto" w:fill="auto"/>
            <w:noWrap/>
            <w:vAlign w:val="center"/>
            <w:hideMark/>
          </w:tcPr>
          <w:p w14:paraId="43307D22"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-6.392</w:t>
            </w:r>
          </w:p>
        </w:tc>
        <w:tc>
          <w:tcPr>
            <w:tcW w:w="1134" w:type="dxa"/>
            <w:tcBorders>
              <w:top w:val="nil"/>
              <w:bottom w:val="nil"/>
            </w:tcBorders>
            <w:shd w:val="clear" w:color="auto" w:fill="auto"/>
            <w:noWrap/>
            <w:vAlign w:val="center"/>
            <w:hideMark/>
          </w:tcPr>
          <w:p w14:paraId="363D51F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28.163</w:t>
            </w:r>
          </w:p>
        </w:tc>
        <w:tc>
          <w:tcPr>
            <w:tcW w:w="1134" w:type="dxa"/>
            <w:tcBorders>
              <w:top w:val="nil"/>
            </w:tcBorders>
            <w:shd w:val="clear" w:color="auto" w:fill="auto"/>
            <w:noWrap/>
            <w:vAlign w:val="center"/>
            <w:hideMark/>
          </w:tcPr>
          <w:p w14:paraId="697EA861"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.027</w:t>
            </w:r>
          </w:p>
        </w:tc>
      </w:tr>
      <w:tr w:rsidR="00142372" w:rsidRPr="00EE4A21" w14:paraId="266E0551" w14:textId="77777777" w:rsidTr="00151932">
        <w:trPr>
          <w:trHeight w:val="240"/>
          <w:jc w:val="center"/>
        </w:trPr>
        <w:tc>
          <w:tcPr>
            <w:tcW w:w="1123" w:type="dxa"/>
            <w:tcBorders>
              <w:top w:val="nil"/>
              <w:bottom w:val="single" w:sz="12" w:space="0" w:color="000000"/>
              <w:right w:val="single" w:sz="12" w:space="0" w:color="000000"/>
            </w:tcBorders>
            <w:shd w:val="clear" w:color="auto" w:fill="auto"/>
            <w:hideMark/>
          </w:tcPr>
          <w:p w14:paraId="3456C29E"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PCG</w:t>
            </w:r>
          </w:p>
        </w:tc>
        <w:tc>
          <w:tcPr>
            <w:tcW w:w="1200" w:type="dxa"/>
            <w:tcBorders>
              <w:top w:val="nil"/>
              <w:left w:val="nil"/>
              <w:bottom w:val="single" w:sz="12" w:space="0" w:color="000000"/>
            </w:tcBorders>
            <w:shd w:val="clear" w:color="auto" w:fill="auto"/>
            <w:noWrap/>
            <w:vAlign w:val="center"/>
            <w:hideMark/>
          </w:tcPr>
          <w:p w14:paraId="7F74FE50"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w:t>
            </w:r>
            <w:r w:rsidRPr="00EE4A21">
              <w:rPr>
                <w:rFonts w:asciiTheme="majorBidi" w:eastAsia="Times New Roman" w:hAnsiTheme="majorBidi" w:cstheme="majorBidi"/>
                <w:sz w:val="20"/>
                <w:szCs w:val="20"/>
                <w:vertAlign w:val="superscript"/>
              </w:rPr>
              <w:t>a</w:t>
            </w:r>
          </w:p>
        </w:tc>
        <w:tc>
          <w:tcPr>
            <w:tcW w:w="920" w:type="dxa"/>
            <w:tcBorders>
              <w:top w:val="nil"/>
              <w:bottom w:val="single" w:sz="12" w:space="0" w:color="000000"/>
            </w:tcBorders>
            <w:shd w:val="clear" w:color="auto" w:fill="auto"/>
            <w:noWrap/>
            <w:vAlign w:val="center"/>
            <w:hideMark/>
          </w:tcPr>
          <w:p w14:paraId="464D37E0"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920" w:type="dxa"/>
            <w:tcBorders>
              <w:top w:val="nil"/>
              <w:bottom w:val="single" w:sz="12" w:space="0" w:color="000000"/>
            </w:tcBorders>
            <w:shd w:val="clear" w:color="auto" w:fill="auto"/>
            <w:noWrap/>
            <w:vAlign w:val="center"/>
            <w:hideMark/>
          </w:tcPr>
          <w:p w14:paraId="1B656D1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920" w:type="dxa"/>
            <w:tcBorders>
              <w:top w:val="nil"/>
              <w:bottom w:val="single" w:sz="12" w:space="0" w:color="000000"/>
            </w:tcBorders>
            <w:shd w:val="clear" w:color="auto" w:fill="auto"/>
            <w:noWrap/>
            <w:vAlign w:val="center"/>
            <w:hideMark/>
          </w:tcPr>
          <w:p w14:paraId="1D1791C2"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1169" w:type="dxa"/>
            <w:tcBorders>
              <w:top w:val="nil"/>
              <w:bottom w:val="single" w:sz="12" w:space="0" w:color="000000"/>
            </w:tcBorders>
            <w:shd w:val="clear" w:color="auto" w:fill="auto"/>
            <w:noWrap/>
            <w:vAlign w:val="center"/>
            <w:hideMark/>
          </w:tcPr>
          <w:p w14:paraId="2C3F7700"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1134" w:type="dxa"/>
            <w:tcBorders>
              <w:top w:val="nil"/>
              <w:bottom w:val="single" w:sz="12" w:space="0" w:color="000000"/>
            </w:tcBorders>
            <w:shd w:val="clear" w:color="auto" w:fill="auto"/>
            <w:noWrap/>
            <w:vAlign w:val="center"/>
            <w:hideMark/>
          </w:tcPr>
          <w:p w14:paraId="19C5055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1134" w:type="dxa"/>
            <w:tcBorders>
              <w:top w:val="nil"/>
              <w:bottom w:val="single" w:sz="12" w:space="0" w:color="000000"/>
            </w:tcBorders>
            <w:shd w:val="clear" w:color="auto" w:fill="auto"/>
            <w:noWrap/>
            <w:vAlign w:val="center"/>
            <w:hideMark/>
          </w:tcPr>
          <w:p w14:paraId="366A488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r>
    </w:tbl>
    <w:p w14:paraId="65CEC1D3" w14:textId="77777777" w:rsidR="00142372" w:rsidRPr="001F2624" w:rsidRDefault="00142372" w:rsidP="0019078C">
      <w:pPr>
        <w:spacing w:after="120" w:line="240" w:lineRule="auto"/>
        <w:jc w:val="both"/>
        <w:rPr>
          <w:rFonts w:asciiTheme="majorBidi" w:hAnsiTheme="majorBidi" w:cstheme="majorBidi"/>
        </w:rPr>
      </w:pPr>
    </w:p>
    <w:p w14:paraId="47EEADD8"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Checking the ad hoc test results also proved significant improvement in self-regulation in L.C. attainment </w:t>
      </w:r>
      <w:r w:rsidR="009B433F" w:rsidRPr="001F2624">
        <w:rPr>
          <w:rFonts w:asciiTheme="majorBidi" w:hAnsiTheme="majorBidi" w:cstheme="majorBidi"/>
        </w:rPr>
        <w:t>of participants</w:t>
      </w:r>
      <w:r w:rsidRPr="001F2624">
        <w:rPr>
          <w:rFonts w:asciiTheme="majorBidi" w:hAnsiTheme="majorBidi" w:cstheme="majorBidi"/>
        </w:rPr>
        <w:t xml:space="preserve"> in EG1 (ρ &lt; .001) and EG2 (ρ = .004) compared to ACG’s. (Table 4)</w:t>
      </w:r>
    </w:p>
    <w:p w14:paraId="2A900A6A" w14:textId="77777777" w:rsidR="004153C4" w:rsidRPr="001F2624" w:rsidRDefault="004153C4" w:rsidP="00151932">
      <w:pPr>
        <w:spacing w:after="120" w:line="240" w:lineRule="auto"/>
        <w:jc w:val="both"/>
        <w:rPr>
          <w:rFonts w:asciiTheme="majorBidi" w:hAnsiTheme="majorBidi" w:cstheme="majorBidi"/>
        </w:rPr>
      </w:pPr>
      <w:r w:rsidRPr="001F2624">
        <w:rPr>
          <w:rFonts w:asciiTheme="majorBidi" w:hAnsiTheme="majorBidi" w:cstheme="majorBidi"/>
        </w:rPr>
        <w:t xml:space="preserve">Table </w:t>
      </w:r>
      <w:r w:rsidR="00151932" w:rsidRPr="001F2624">
        <w:rPr>
          <w:rFonts w:asciiTheme="majorBidi" w:hAnsiTheme="majorBidi" w:cstheme="majorBidi"/>
        </w:rPr>
        <w:t>4</w:t>
      </w:r>
      <w:r w:rsidR="00151932">
        <w:rPr>
          <w:rFonts w:asciiTheme="majorBidi" w:hAnsiTheme="majorBidi" w:cstheme="majorBidi"/>
        </w:rPr>
        <w:t xml:space="preserve">: </w:t>
      </w:r>
      <w:r w:rsidRPr="001F2624">
        <w:rPr>
          <w:rFonts w:asciiTheme="majorBidi" w:hAnsiTheme="majorBidi" w:cstheme="majorBidi"/>
        </w:rPr>
        <w:t xml:space="preserve">Pairwise </w:t>
      </w:r>
      <w:r w:rsidR="00151932" w:rsidRPr="001F2624">
        <w:rPr>
          <w:rFonts w:asciiTheme="majorBidi" w:hAnsiTheme="majorBidi" w:cstheme="majorBidi"/>
        </w:rPr>
        <w:t xml:space="preserve">Comparison </w:t>
      </w:r>
      <w:r w:rsidR="00151932">
        <w:rPr>
          <w:rFonts w:asciiTheme="majorBidi" w:hAnsiTheme="majorBidi" w:cstheme="majorBidi"/>
        </w:rPr>
        <w:t>of</w:t>
      </w:r>
      <w:r w:rsidR="00151932" w:rsidRPr="001F2624">
        <w:rPr>
          <w:rFonts w:asciiTheme="majorBidi" w:hAnsiTheme="majorBidi" w:cstheme="majorBidi"/>
        </w:rPr>
        <w:t xml:space="preserve"> Four Groups </w:t>
      </w:r>
      <w:r w:rsidR="00151932">
        <w:rPr>
          <w:rFonts w:asciiTheme="majorBidi" w:hAnsiTheme="majorBidi" w:cstheme="majorBidi"/>
        </w:rPr>
        <w:t>on</w:t>
      </w:r>
      <w:r w:rsidR="00151932" w:rsidRPr="001F2624">
        <w:rPr>
          <w:rFonts w:asciiTheme="majorBidi" w:hAnsiTheme="majorBidi" w:cstheme="majorBidi"/>
        </w:rPr>
        <w:t xml:space="preserve"> </w:t>
      </w:r>
      <w:r w:rsidR="00151932">
        <w:rPr>
          <w:rFonts w:asciiTheme="majorBidi" w:hAnsiTheme="majorBidi" w:cstheme="majorBidi"/>
        </w:rPr>
        <w:t>the</w:t>
      </w:r>
      <w:r w:rsidR="00151932" w:rsidRPr="001F2624">
        <w:rPr>
          <w:rFonts w:asciiTheme="majorBidi" w:hAnsiTheme="majorBidi" w:cstheme="majorBidi"/>
        </w:rPr>
        <w:t xml:space="preserve"> Effect </w:t>
      </w:r>
      <w:r w:rsidR="00151932">
        <w:rPr>
          <w:rFonts w:asciiTheme="majorBidi" w:hAnsiTheme="majorBidi" w:cstheme="majorBidi"/>
        </w:rPr>
        <w:t>of</w:t>
      </w:r>
      <w:r w:rsidR="00151932" w:rsidRPr="001F2624">
        <w:rPr>
          <w:rFonts w:asciiTheme="majorBidi" w:hAnsiTheme="majorBidi" w:cstheme="majorBidi"/>
        </w:rPr>
        <w:t xml:space="preserve"> Intervention </w:t>
      </w:r>
      <w:r w:rsidR="00151932">
        <w:rPr>
          <w:rFonts w:asciiTheme="majorBidi" w:hAnsiTheme="majorBidi" w:cstheme="majorBidi"/>
        </w:rPr>
        <w:t>on</w:t>
      </w:r>
      <w:r w:rsidR="00151932" w:rsidRPr="001F2624">
        <w:rPr>
          <w:rFonts w:asciiTheme="majorBidi" w:hAnsiTheme="majorBidi" w:cstheme="majorBidi"/>
        </w:rPr>
        <w:t xml:space="preserve"> Self-</w:t>
      </w:r>
      <w:r w:rsidR="00151932">
        <w:rPr>
          <w:rFonts w:asciiTheme="majorBidi" w:hAnsiTheme="majorBidi" w:cstheme="majorBidi"/>
        </w:rPr>
        <w:t>r</w:t>
      </w:r>
      <w:r w:rsidR="00151932" w:rsidRPr="001F2624">
        <w:rPr>
          <w:rFonts w:asciiTheme="majorBidi" w:hAnsiTheme="majorBidi" w:cstheme="majorBidi"/>
        </w:rPr>
        <w:t xml:space="preserve">egulation </w:t>
      </w:r>
      <w:r w:rsidR="00151932">
        <w:rPr>
          <w:rFonts w:asciiTheme="majorBidi" w:hAnsiTheme="majorBidi" w:cstheme="majorBidi"/>
        </w:rPr>
        <w:t>in</w:t>
      </w:r>
      <w:r w:rsidR="00151932" w:rsidRPr="001F2624">
        <w:rPr>
          <w:rFonts w:asciiTheme="majorBidi" w:hAnsiTheme="majorBidi" w:cstheme="majorBidi"/>
        </w:rPr>
        <w:t xml:space="preserve"> </w:t>
      </w:r>
      <w:r w:rsidRPr="001F2624">
        <w:rPr>
          <w:rFonts w:asciiTheme="majorBidi" w:hAnsiTheme="majorBidi" w:cstheme="majorBidi"/>
        </w:rPr>
        <w:t>L</w:t>
      </w:r>
      <w:r w:rsidR="00151932" w:rsidRPr="001F2624">
        <w:rPr>
          <w:rFonts w:asciiTheme="majorBidi" w:hAnsiTheme="majorBidi" w:cstheme="majorBidi"/>
        </w:rPr>
        <w:t>.</w:t>
      </w:r>
      <w:r w:rsidRPr="001F2624">
        <w:rPr>
          <w:rFonts w:asciiTheme="majorBidi" w:hAnsiTheme="majorBidi" w:cstheme="majorBidi"/>
        </w:rPr>
        <w:t>C</w:t>
      </w:r>
    </w:p>
    <w:tbl>
      <w:tblPr>
        <w:tblStyle w:val="TableGrid"/>
        <w:tblW w:w="0" w:type="auto"/>
        <w:jc w:val="center"/>
        <w:tblLook w:val="04A0" w:firstRow="1" w:lastRow="0" w:firstColumn="1" w:lastColumn="0" w:noHBand="0" w:noVBand="1"/>
      </w:tblPr>
      <w:tblGrid>
        <w:gridCol w:w="933"/>
        <w:gridCol w:w="1157"/>
        <w:gridCol w:w="1207"/>
        <w:gridCol w:w="992"/>
        <w:gridCol w:w="850"/>
        <w:gridCol w:w="1134"/>
        <w:gridCol w:w="1336"/>
      </w:tblGrid>
      <w:tr w:rsidR="00142372" w:rsidRPr="00EE4A21" w14:paraId="2D9D38B8" w14:textId="77777777" w:rsidTr="00151932">
        <w:trPr>
          <w:trHeight w:val="199"/>
          <w:jc w:val="center"/>
        </w:trPr>
        <w:tc>
          <w:tcPr>
            <w:tcW w:w="0" w:type="auto"/>
            <w:vMerge w:val="restart"/>
            <w:tcBorders>
              <w:top w:val="single" w:sz="12" w:space="0" w:color="000000" w:themeColor="text1"/>
              <w:left w:val="nil"/>
              <w:bottom w:val="single" w:sz="12" w:space="0" w:color="000000" w:themeColor="text1"/>
              <w:right w:val="nil"/>
            </w:tcBorders>
            <w:vAlign w:val="bottom"/>
          </w:tcPr>
          <w:p w14:paraId="72EC6144"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(I) group</w:t>
            </w:r>
          </w:p>
        </w:tc>
        <w:tc>
          <w:tcPr>
            <w:tcW w:w="1157" w:type="dxa"/>
            <w:vMerge w:val="restart"/>
            <w:tcBorders>
              <w:top w:val="single" w:sz="12" w:space="0" w:color="000000" w:themeColor="text1"/>
              <w:left w:val="nil"/>
              <w:bottom w:val="nil"/>
              <w:right w:val="single" w:sz="12" w:space="0" w:color="000000" w:themeColor="text1"/>
            </w:tcBorders>
            <w:vAlign w:val="bottom"/>
          </w:tcPr>
          <w:p w14:paraId="715C68F5" w14:textId="77777777" w:rsidR="00142372" w:rsidRPr="00EE4A21" w:rsidRDefault="00142372" w:rsidP="0019078C">
            <w:pPr>
              <w:spacing w:after="120"/>
              <w:jc w:val="both"/>
              <w:rPr>
                <w:rFonts w:asciiTheme="majorBidi" w:eastAsia="Times New Roman" w:hAnsiTheme="majorBidi" w:cstheme="majorBidi"/>
                <w:sz w:val="20"/>
                <w:szCs w:val="20"/>
              </w:rPr>
            </w:pPr>
          </w:p>
        </w:tc>
        <w:tc>
          <w:tcPr>
            <w:tcW w:w="1207" w:type="dxa"/>
            <w:vMerge w:val="restart"/>
            <w:tcBorders>
              <w:top w:val="single" w:sz="12" w:space="0" w:color="000000" w:themeColor="text1"/>
              <w:left w:val="single" w:sz="12" w:space="0" w:color="000000" w:themeColor="text1"/>
              <w:bottom w:val="nil"/>
              <w:right w:val="nil"/>
            </w:tcBorders>
            <w:vAlign w:val="bottom"/>
          </w:tcPr>
          <w:p w14:paraId="0133779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Mean Difference (I-J)</w:t>
            </w:r>
          </w:p>
        </w:tc>
        <w:tc>
          <w:tcPr>
            <w:tcW w:w="992" w:type="dxa"/>
            <w:vMerge w:val="restart"/>
            <w:tcBorders>
              <w:top w:val="single" w:sz="12" w:space="0" w:color="000000" w:themeColor="text1"/>
              <w:left w:val="nil"/>
              <w:bottom w:val="nil"/>
              <w:right w:val="nil"/>
            </w:tcBorders>
            <w:vAlign w:val="bottom"/>
          </w:tcPr>
          <w:p w14:paraId="2E7EB33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Std. Error</w:t>
            </w:r>
          </w:p>
        </w:tc>
        <w:tc>
          <w:tcPr>
            <w:tcW w:w="850" w:type="dxa"/>
            <w:vMerge w:val="restart"/>
            <w:tcBorders>
              <w:top w:val="single" w:sz="12" w:space="0" w:color="000000" w:themeColor="text1"/>
              <w:left w:val="nil"/>
              <w:bottom w:val="nil"/>
              <w:right w:val="nil"/>
            </w:tcBorders>
            <w:vAlign w:val="bottom"/>
          </w:tcPr>
          <w:p w14:paraId="4DAD3D8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Sig.</w:t>
            </w:r>
            <w:r w:rsidRPr="00EE4A21">
              <w:rPr>
                <w:rFonts w:asciiTheme="majorBidi" w:eastAsia="Times New Roman" w:hAnsiTheme="majorBidi" w:cstheme="majorBidi"/>
                <w:sz w:val="20"/>
                <w:szCs w:val="20"/>
                <w:vertAlign w:val="superscript"/>
              </w:rPr>
              <w:t>b</w:t>
            </w:r>
          </w:p>
        </w:tc>
        <w:tc>
          <w:tcPr>
            <w:tcW w:w="2470" w:type="dxa"/>
            <w:gridSpan w:val="2"/>
            <w:tcBorders>
              <w:top w:val="single" w:sz="12" w:space="0" w:color="000000" w:themeColor="text1"/>
              <w:left w:val="nil"/>
              <w:bottom w:val="single" w:sz="12" w:space="0" w:color="000000" w:themeColor="text1"/>
              <w:right w:val="nil"/>
            </w:tcBorders>
            <w:vAlign w:val="bottom"/>
          </w:tcPr>
          <w:p w14:paraId="0A1DA059"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95% Confidence Interval for Difference</w:t>
            </w:r>
            <w:r w:rsidRPr="00EE4A21">
              <w:rPr>
                <w:rFonts w:asciiTheme="majorBidi" w:eastAsia="Times New Roman" w:hAnsiTheme="majorBidi" w:cstheme="majorBidi"/>
                <w:sz w:val="20"/>
                <w:szCs w:val="20"/>
                <w:vertAlign w:val="superscript"/>
              </w:rPr>
              <w:t>b</w:t>
            </w:r>
          </w:p>
        </w:tc>
      </w:tr>
      <w:tr w:rsidR="00142372" w:rsidRPr="00EE4A21" w14:paraId="43565960" w14:textId="77777777" w:rsidTr="00151932">
        <w:trPr>
          <w:trHeight w:val="199"/>
          <w:jc w:val="center"/>
        </w:trPr>
        <w:tc>
          <w:tcPr>
            <w:tcW w:w="0" w:type="auto"/>
            <w:vMerge/>
            <w:tcBorders>
              <w:top w:val="single" w:sz="12" w:space="0" w:color="000000" w:themeColor="text1"/>
              <w:left w:val="nil"/>
              <w:bottom w:val="single" w:sz="12" w:space="0" w:color="000000" w:themeColor="text1"/>
              <w:right w:val="nil"/>
            </w:tcBorders>
          </w:tcPr>
          <w:p w14:paraId="0395C224" w14:textId="77777777" w:rsidR="00142372" w:rsidRPr="00EE4A21" w:rsidRDefault="00142372" w:rsidP="0019078C">
            <w:pPr>
              <w:spacing w:after="120"/>
              <w:jc w:val="both"/>
              <w:rPr>
                <w:rFonts w:asciiTheme="majorBidi" w:hAnsiTheme="majorBidi" w:cstheme="majorBidi"/>
                <w:sz w:val="20"/>
                <w:szCs w:val="20"/>
              </w:rPr>
            </w:pPr>
          </w:p>
        </w:tc>
        <w:tc>
          <w:tcPr>
            <w:tcW w:w="1157" w:type="dxa"/>
            <w:vMerge/>
            <w:tcBorders>
              <w:top w:val="nil"/>
              <w:left w:val="nil"/>
              <w:bottom w:val="single" w:sz="12" w:space="0" w:color="000000" w:themeColor="text1"/>
              <w:right w:val="single" w:sz="12" w:space="0" w:color="000000" w:themeColor="text1"/>
            </w:tcBorders>
          </w:tcPr>
          <w:p w14:paraId="234583A5" w14:textId="77777777" w:rsidR="00142372" w:rsidRPr="00EE4A21" w:rsidRDefault="00142372" w:rsidP="0019078C">
            <w:pPr>
              <w:spacing w:after="120"/>
              <w:jc w:val="both"/>
              <w:rPr>
                <w:rFonts w:asciiTheme="majorBidi" w:hAnsiTheme="majorBidi" w:cstheme="majorBidi"/>
                <w:sz w:val="20"/>
                <w:szCs w:val="20"/>
              </w:rPr>
            </w:pPr>
          </w:p>
        </w:tc>
        <w:tc>
          <w:tcPr>
            <w:tcW w:w="1207" w:type="dxa"/>
            <w:vMerge/>
            <w:tcBorders>
              <w:top w:val="nil"/>
              <w:left w:val="single" w:sz="12" w:space="0" w:color="000000" w:themeColor="text1"/>
              <w:bottom w:val="single" w:sz="12" w:space="0" w:color="000000" w:themeColor="text1"/>
              <w:right w:val="nil"/>
            </w:tcBorders>
          </w:tcPr>
          <w:p w14:paraId="3CD81CFF" w14:textId="77777777" w:rsidR="00142372" w:rsidRPr="00EE4A21" w:rsidRDefault="00142372" w:rsidP="0019078C">
            <w:pPr>
              <w:spacing w:after="120"/>
              <w:jc w:val="both"/>
              <w:rPr>
                <w:rFonts w:asciiTheme="majorBidi" w:hAnsiTheme="majorBidi" w:cstheme="majorBidi"/>
                <w:sz w:val="20"/>
                <w:szCs w:val="20"/>
              </w:rPr>
            </w:pPr>
          </w:p>
        </w:tc>
        <w:tc>
          <w:tcPr>
            <w:tcW w:w="992" w:type="dxa"/>
            <w:vMerge/>
            <w:tcBorders>
              <w:top w:val="nil"/>
              <w:left w:val="nil"/>
              <w:bottom w:val="single" w:sz="12" w:space="0" w:color="000000" w:themeColor="text1"/>
              <w:right w:val="nil"/>
            </w:tcBorders>
          </w:tcPr>
          <w:p w14:paraId="49DD2420" w14:textId="77777777" w:rsidR="00142372" w:rsidRPr="00EE4A21" w:rsidRDefault="00142372" w:rsidP="0019078C">
            <w:pPr>
              <w:spacing w:after="120"/>
              <w:jc w:val="both"/>
              <w:rPr>
                <w:rFonts w:asciiTheme="majorBidi" w:hAnsiTheme="majorBidi" w:cstheme="majorBidi"/>
                <w:sz w:val="20"/>
                <w:szCs w:val="20"/>
              </w:rPr>
            </w:pPr>
          </w:p>
        </w:tc>
        <w:tc>
          <w:tcPr>
            <w:tcW w:w="850" w:type="dxa"/>
            <w:vMerge/>
            <w:tcBorders>
              <w:top w:val="nil"/>
              <w:left w:val="nil"/>
              <w:bottom w:val="single" w:sz="12" w:space="0" w:color="000000" w:themeColor="text1"/>
              <w:right w:val="nil"/>
            </w:tcBorders>
          </w:tcPr>
          <w:p w14:paraId="43BFB006" w14:textId="77777777" w:rsidR="00142372" w:rsidRPr="00EE4A21" w:rsidRDefault="00142372" w:rsidP="0019078C">
            <w:pPr>
              <w:spacing w:after="120"/>
              <w:jc w:val="both"/>
              <w:rPr>
                <w:rFonts w:asciiTheme="majorBidi" w:hAnsiTheme="majorBidi" w:cstheme="majorBidi"/>
                <w:sz w:val="20"/>
                <w:szCs w:val="20"/>
              </w:rPr>
            </w:pPr>
          </w:p>
        </w:tc>
        <w:tc>
          <w:tcPr>
            <w:tcW w:w="1134" w:type="dxa"/>
            <w:tcBorders>
              <w:top w:val="single" w:sz="12" w:space="0" w:color="000000" w:themeColor="text1"/>
              <w:left w:val="nil"/>
              <w:bottom w:val="single" w:sz="12" w:space="0" w:color="000000" w:themeColor="text1"/>
              <w:right w:val="nil"/>
            </w:tcBorders>
            <w:vAlign w:val="bottom"/>
          </w:tcPr>
          <w:p w14:paraId="2BD0AC3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Lower Bound</w:t>
            </w:r>
          </w:p>
        </w:tc>
        <w:tc>
          <w:tcPr>
            <w:tcW w:w="1336" w:type="dxa"/>
            <w:tcBorders>
              <w:top w:val="single" w:sz="12" w:space="0" w:color="000000" w:themeColor="text1"/>
              <w:left w:val="nil"/>
              <w:bottom w:val="single" w:sz="12" w:space="0" w:color="000000" w:themeColor="text1"/>
              <w:right w:val="nil"/>
            </w:tcBorders>
            <w:vAlign w:val="bottom"/>
          </w:tcPr>
          <w:p w14:paraId="7F6AE815"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Upper Bound</w:t>
            </w:r>
          </w:p>
        </w:tc>
      </w:tr>
      <w:tr w:rsidR="00142372" w:rsidRPr="00EE4A21" w14:paraId="37734450" w14:textId="77777777" w:rsidTr="00151932">
        <w:trPr>
          <w:jc w:val="center"/>
        </w:trPr>
        <w:tc>
          <w:tcPr>
            <w:tcW w:w="0" w:type="auto"/>
            <w:tcBorders>
              <w:top w:val="single" w:sz="12" w:space="0" w:color="000000" w:themeColor="text1"/>
              <w:left w:val="nil"/>
              <w:bottom w:val="nil"/>
              <w:right w:val="nil"/>
            </w:tcBorders>
          </w:tcPr>
          <w:p w14:paraId="62AF9981"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EG1</w:t>
            </w:r>
          </w:p>
        </w:tc>
        <w:tc>
          <w:tcPr>
            <w:tcW w:w="1157" w:type="dxa"/>
            <w:tcBorders>
              <w:top w:val="single" w:sz="12" w:space="0" w:color="000000" w:themeColor="text1"/>
              <w:left w:val="nil"/>
              <w:bottom w:val="nil"/>
              <w:right w:val="single" w:sz="12" w:space="0" w:color="000000" w:themeColor="text1"/>
            </w:tcBorders>
          </w:tcPr>
          <w:p w14:paraId="05A0DDB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EG2</w:t>
            </w:r>
          </w:p>
        </w:tc>
        <w:tc>
          <w:tcPr>
            <w:tcW w:w="1207" w:type="dxa"/>
            <w:tcBorders>
              <w:top w:val="single" w:sz="12" w:space="0" w:color="000000" w:themeColor="text1"/>
              <w:left w:val="single" w:sz="12" w:space="0" w:color="000000" w:themeColor="text1"/>
              <w:bottom w:val="nil"/>
              <w:right w:val="nil"/>
            </w:tcBorders>
            <w:vAlign w:val="center"/>
          </w:tcPr>
          <w:p w14:paraId="0766153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27.832</w:t>
            </w:r>
            <w:r w:rsidRPr="00EE4A21">
              <w:rPr>
                <w:rFonts w:asciiTheme="majorBidi" w:eastAsia="Times New Roman" w:hAnsiTheme="majorBidi" w:cstheme="majorBidi"/>
                <w:sz w:val="20"/>
                <w:szCs w:val="20"/>
                <w:vertAlign w:val="superscript"/>
              </w:rPr>
              <w:t>*</w:t>
            </w:r>
          </w:p>
        </w:tc>
        <w:tc>
          <w:tcPr>
            <w:tcW w:w="992" w:type="dxa"/>
            <w:tcBorders>
              <w:top w:val="single" w:sz="12" w:space="0" w:color="000000" w:themeColor="text1"/>
              <w:left w:val="nil"/>
              <w:bottom w:val="nil"/>
              <w:right w:val="nil"/>
            </w:tcBorders>
            <w:vAlign w:val="center"/>
          </w:tcPr>
          <w:p w14:paraId="7247A142"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9.351</w:t>
            </w:r>
          </w:p>
        </w:tc>
        <w:tc>
          <w:tcPr>
            <w:tcW w:w="850" w:type="dxa"/>
            <w:tcBorders>
              <w:top w:val="single" w:sz="12" w:space="0" w:color="000000" w:themeColor="text1"/>
              <w:left w:val="nil"/>
              <w:bottom w:val="nil"/>
              <w:right w:val="nil"/>
            </w:tcBorders>
            <w:vAlign w:val="center"/>
          </w:tcPr>
          <w:p w14:paraId="4102647A"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.004</w:t>
            </w:r>
          </w:p>
        </w:tc>
        <w:tc>
          <w:tcPr>
            <w:tcW w:w="1134" w:type="dxa"/>
            <w:tcBorders>
              <w:top w:val="single" w:sz="12" w:space="0" w:color="000000" w:themeColor="text1"/>
              <w:left w:val="nil"/>
              <w:bottom w:val="nil"/>
              <w:right w:val="nil"/>
            </w:tcBorders>
            <w:vAlign w:val="center"/>
          </w:tcPr>
          <w:p w14:paraId="13D56DC5"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9.114</w:t>
            </w:r>
          </w:p>
        </w:tc>
        <w:tc>
          <w:tcPr>
            <w:tcW w:w="1336" w:type="dxa"/>
            <w:tcBorders>
              <w:top w:val="single" w:sz="12" w:space="0" w:color="000000" w:themeColor="text1"/>
              <w:left w:val="nil"/>
              <w:bottom w:val="nil"/>
              <w:right w:val="nil"/>
            </w:tcBorders>
            <w:vAlign w:val="center"/>
          </w:tcPr>
          <w:p w14:paraId="7DE0E30C"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46.550</w:t>
            </w:r>
          </w:p>
        </w:tc>
      </w:tr>
      <w:tr w:rsidR="00142372" w:rsidRPr="00EE4A21" w14:paraId="44379076" w14:textId="77777777" w:rsidTr="00151932">
        <w:trPr>
          <w:jc w:val="center"/>
        </w:trPr>
        <w:tc>
          <w:tcPr>
            <w:tcW w:w="0" w:type="auto"/>
            <w:tcBorders>
              <w:top w:val="nil"/>
              <w:left w:val="nil"/>
              <w:bottom w:val="nil"/>
              <w:right w:val="nil"/>
            </w:tcBorders>
          </w:tcPr>
          <w:p w14:paraId="5C107BC4" w14:textId="77777777" w:rsidR="00142372" w:rsidRPr="00EE4A21" w:rsidRDefault="00142372" w:rsidP="0019078C">
            <w:pPr>
              <w:spacing w:after="120"/>
              <w:jc w:val="both"/>
              <w:rPr>
                <w:rFonts w:asciiTheme="majorBidi" w:hAnsiTheme="majorBidi" w:cstheme="majorBidi"/>
                <w:sz w:val="20"/>
                <w:szCs w:val="20"/>
              </w:rPr>
            </w:pPr>
          </w:p>
        </w:tc>
        <w:tc>
          <w:tcPr>
            <w:tcW w:w="1157" w:type="dxa"/>
            <w:tcBorders>
              <w:top w:val="nil"/>
              <w:left w:val="nil"/>
              <w:bottom w:val="nil"/>
              <w:right w:val="single" w:sz="12" w:space="0" w:color="000000" w:themeColor="text1"/>
            </w:tcBorders>
          </w:tcPr>
          <w:p w14:paraId="7F68EBB6"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ACG</w:t>
            </w:r>
          </w:p>
        </w:tc>
        <w:tc>
          <w:tcPr>
            <w:tcW w:w="1207" w:type="dxa"/>
            <w:tcBorders>
              <w:top w:val="nil"/>
              <w:left w:val="single" w:sz="12" w:space="0" w:color="000000" w:themeColor="text1"/>
              <w:bottom w:val="nil"/>
              <w:right w:val="nil"/>
            </w:tcBorders>
            <w:vAlign w:val="center"/>
          </w:tcPr>
          <w:p w14:paraId="77279954"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47.847</w:t>
            </w:r>
            <w:r w:rsidRPr="00EE4A21">
              <w:rPr>
                <w:rFonts w:asciiTheme="majorBidi" w:eastAsia="Times New Roman" w:hAnsiTheme="majorBidi" w:cstheme="majorBidi"/>
                <w:sz w:val="20"/>
                <w:szCs w:val="20"/>
                <w:vertAlign w:val="superscript"/>
              </w:rPr>
              <w:t>*</w:t>
            </w:r>
          </w:p>
        </w:tc>
        <w:tc>
          <w:tcPr>
            <w:tcW w:w="992" w:type="dxa"/>
            <w:tcBorders>
              <w:top w:val="nil"/>
              <w:left w:val="nil"/>
              <w:bottom w:val="nil"/>
              <w:right w:val="nil"/>
            </w:tcBorders>
            <w:vAlign w:val="center"/>
          </w:tcPr>
          <w:p w14:paraId="4532213A"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8.837</w:t>
            </w:r>
          </w:p>
        </w:tc>
        <w:tc>
          <w:tcPr>
            <w:tcW w:w="850" w:type="dxa"/>
            <w:tcBorders>
              <w:top w:val="nil"/>
              <w:left w:val="nil"/>
              <w:bottom w:val="nil"/>
              <w:right w:val="nil"/>
            </w:tcBorders>
            <w:vAlign w:val="center"/>
          </w:tcPr>
          <w:p w14:paraId="2F3195B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34" w:type="dxa"/>
            <w:tcBorders>
              <w:top w:val="nil"/>
              <w:left w:val="nil"/>
              <w:bottom w:val="nil"/>
              <w:right w:val="nil"/>
            </w:tcBorders>
            <w:vAlign w:val="center"/>
          </w:tcPr>
          <w:p w14:paraId="1C48AF86"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30.158</w:t>
            </w:r>
          </w:p>
        </w:tc>
        <w:tc>
          <w:tcPr>
            <w:tcW w:w="1336" w:type="dxa"/>
            <w:tcBorders>
              <w:top w:val="nil"/>
              <w:left w:val="nil"/>
              <w:bottom w:val="nil"/>
              <w:right w:val="nil"/>
            </w:tcBorders>
            <w:vAlign w:val="center"/>
          </w:tcPr>
          <w:p w14:paraId="2B8263B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65.537</w:t>
            </w:r>
          </w:p>
        </w:tc>
      </w:tr>
      <w:tr w:rsidR="00142372" w:rsidRPr="00EE4A21" w14:paraId="7419946D" w14:textId="77777777" w:rsidTr="00151932">
        <w:trPr>
          <w:jc w:val="center"/>
        </w:trPr>
        <w:tc>
          <w:tcPr>
            <w:tcW w:w="0" w:type="auto"/>
            <w:tcBorders>
              <w:top w:val="nil"/>
              <w:left w:val="nil"/>
              <w:bottom w:val="single" w:sz="12" w:space="0" w:color="000000" w:themeColor="text1"/>
              <w:right w:val="nil"/>
            </w:tcBorders>
          </w:tcPr>
          <w:p w14:paraId="22ADCED1" w14:textId="77777777" w:rsidR="00142372" w:rsidRPr="00EE4A21" w:rsidRDefault="00142372" w:rsidP="0019078C">
            <w:pPr>
              <w:spacing w:after="120"/>
              <w:jc w:val="both"/>
              <w:rPr>
                <w:rFonts w:asciiTheme="majorBidi" w:hAnsiTheme="majorBidi" w:cstheme="majorBidi"/>
                <w:sz w:val="20"/>
                <w:szCs w:val="20"/>
              </w:rPr>
            </w:pPr>
          </w:p>
        </w:tc>
        <w:tc>
          <w:tcPr>
            <w:tcW w:w="1157" w:type="dxa"/>
            <w:tcBorders>
              <w:top w:val="nil"/>
              <w:left w:val="nil"/>
              <w:bottom w:val="single" w:sz="12" w:space="0" w:color="000000" w:themeColor="text1"/>
              <w:right w:val="single" w:sz="12" w:space="0" w:color="000000" w:themeColor="text1"/>
            </w:tcBorders>
          </w:tcPr>
          <w:p w14:paraId="00E3FA80"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PCG</w:t>
            </w:r>
          </w:p>
        </w:tc>
        <w:tc>
          <w:tcPr>
            <w:tcW w:w="1207" w:type="dxa"/>
            <w:tcBorders>
              <w:top w:val="nil"/>
              <w:left w:val="single" w:sz="12" w:space="0" w:color="000000" w:themeColor="text1"/>
              <w:bottom w:val="single" w:sz="12" w:space="0" w:color="000000" w:themeColor="text1"/>
              <w:right w:val="nil"/>
            </w:tcBorders>
            <w:vAlign w:val="center"/>
          </w:tcPr>
          <w:p w14:paraId="450DBA6B"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58.732</w:t>
            </w:r>
            <w:r w:rsidRPr="00EE4A21">
              <w:rPr>
                <w:rFonts w:asciiTheme="majorBidi" w:eastAsia="Times New Roman" w:hAnsiTheme="majorBidi" w:cstheme="majorBidi"/>
                <w:sz w:val="20"/>
                <w:szCs w:val="20"/>
                <w:vertAlign w:val="superscript"/>
              </w:rPr>
              <w:t>*</w:t>
            </w:r>
          </w:p>
        </w:tc>
        <w:tc>
          <w:tcPr>
            <w:tcW w:w="992" w:type="dxa"/>
            <w:tcBorders>
              <w:top w:val="nil"/>
              <w:left w:val="nil"/>
              <w:bottom w:val="single" w:sz="12" w:space="0" w:color="000000" w:themeColor="text1"/>
              <w:right w:val="nil"/>
            </w:tcBorders>
            <w:vAlign w:val="center"/>
          </w:tcPr>
          <w:p w14:paraId="3AB5845F"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8.821</w:t>
            </w:r>
          </w:p>
        </w:tc>
        <w:tc>
          <w:tcPr>
            <w:tcW w:w="850" w:type="dxa"/>
            <w:tcBorders>
              <w:top w:val="nil"/>
              <w:left w:val="nil"/>
              <w:bottom w:val="single" w:sz="12" w:space="0" w:color="000000" w:themeColor="text1"/>
              <w:right w:val="nil"/>
            </w:tcBorders>
            <w:vAlign w:val="center"/>
          </w:tcPr>
          <w:p w14:paraId="60A40C39"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34" w:type="dxa"/>
            <w:tcBorders>
              <w:top w:val="nil"/>
              <w:left w:val="nil"/>
              <w:bottom w:val="single" w:sz="12" w:space="0" w:color="000000" w:themeColor="text1"/>
              <w:right w:val="nil"/>
            </w:tcBorders>
            <w:vAlign w:val="center"/>
          </w:tcPr>
          <w:p w14:paraId="1075CD2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41.075</w:t>
            </w:r>
          </w:p>
        </w:tc>
        <w:tc>
          <w:tcPr>
            <w:tcW w:w="1336" w:type="dxa"/>
            <w:tcBorders>
              <w:top w:val="nil"/>
              <w:left w:val="nil"/>
              <w:bottom w:val="single" w:sz="12" w:space="0" w:color="000000" w:themeColor="text1"/>
              <w:right w:val="nil"/>
            </w:tcBorders>
            <w:vAlign w:val="center"/>
          </w:tcPr>
          <w:p w14:paraId="124B76CF"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76.390</w:t>
            </w:r>
          </w:p>
        </w:tc>
      </w:tr>
      <w:tr w:rsidR="00142372" w:rsidRPr="00EE4A21" w14:paraId="41FD4D77" w14:textId="77777777" w:rsidTr="00151932">
        <w:trPr>
          <w:jc w:val="center"/>
        </w:trPr>
        <w:tc>
          <w:tcPr>
            <w:tcW w:w="0" w:type="auto"/>
            <w:tcBorders>
              <w:top w:val="single" w:sz="12" w:space="0" w:color="000000" w:themeColor="text1"/>
              <w:left w:val="nil"/>
              <w:bottom w:val="nil"/>
              <w:right w:val="nil"/>
            </w:tcBorders>
          </w:tcPr>
          <w:p w14:paraId="1460006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EG2</w:t>
            </w:r>
          </w:p>
        </w:tc>
        <w:tc>
          <w:tcPr>
            <w:tcW w:w="1157" w:type="dxa"/>
            <w:tcBorders>
              <w:top w:val="single" w:sz="12" w:space="0" w:color="000000" w:themeColor="text1"/>
              <w:left w:val="nil"/>
              <w:bottom w:val="nil"/>
              <w:right w:val="single" w:sz="12" w:space="0" w:color="000000" w:themeColor="text1"/>
            </w:tcBorders>
          </w:tcPr>
          <w:p w14:paraId="41FC2AF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ACG</w:t>
            </w:r>
          </w:p>
        </w:tc>
        <w:tc>
          <w:tcPr>
            <w:tcW w:w="1207" w:type="dxa"/>
            <w:tcBorders>
              <w:top w:val="single" w:sz="12" w:space="0" w:color="000000" w:themeColor="text1"/>
              <w:left w:val="single" w:sz="12" w:space="0" w:color="000000" w:themeColor="text1"/>
              <w:bottom w:val="nil"/>
              <w:right w:val="nil"/>
            </w:tcBorders>
            <w:vAlign w:val="center"/>
          </w:tcPr>
          <w:p w14:paraId="0209EEE6"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20.015</w:t>
            </w:r>
            <w:r w:rsidRPr="00EE4A21">
              <w:rPr>
                <w:rFonts w:asciiTheme="majorBidi" w:eastAsia="Times New Roman" w:hAnsiTheme="majorBidi" w:cstheme="majorBidi"/>
                <w:sz w:val="20"/>
                <w:szCs w:val="20"/>
                <w:vertAlign w:val="superscript"/>
              </w:rPr>
              <w:t>*</w:t>
            </w:r>
          </w:p>
        </w:tc>
        <w:tc>
          <w:tcPr>
            <w:tcW w:w="992" w:type="dxa"/>
            <w:tcBorders>
              <w:top w:val="single" w:sz="12" w:space="0" w:color="000000" w:themeColor="text1"/>
              <w:left w:val="nil"/>
              <w:bottom w:val="nil"/>
              <w:right w:val="nil"/>
            </w:tcBorders>
            <w:vAlign w:val="center"/>
          </w:tcPr>
          <w:p w14:paraId="521EAFDE"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8.830</w:t>
            </w:r>
          </w:p>
        </w:tc>
        <w:tc>
          <w:tcPr>
            <w:tcW w:w="850" w:type="dxa"/>
            <w:tcBorders>
              <w:top w:val="single" w:sz="12" w:space="0" w:color="000000" w:themeColor="text1"/>
              <w:left w:val="nil"/>
              <w:bottom w:val="nil"/>
              <w:right w:val="nil"/>
            </w:tcBorders>
            <w:vAlign w:val="center"/>
          </w:tcPr>
          <w:p w14:paraId="7E4DA7F8"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.027</w:t>
            </w:r>
          </w:p>
        </w:tc>
        <w:tc>
          <w:tcPr>
            <w:tcW w:w="1134" w:type="dxa"/>
            <w:tcBorders>
              <w:top w:val="single" w:sz="12" w:space="0" w:color="000000" w:themeColor="text1"/>
              <w:left w:val="nil"/>
              <w:bottom w:val="nil"/>
              <w:right w:val="nil"/>
            </w:tcBorders>
            <w:vAlign w:val="center"/>
          </w:tcPr>
          <w:p w14:paraId="0431E18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2.339</w:t>
            </w:r>
          </w:p>
        </w:tc>
        <w:tc>
          <w:tcPr>
            <w:tcW w:w="1336" w:type="dxa"/>
            <w:tcBorders>
              <w:top w:val="single" w:sz="12" w:space="0" w:color="000000" w:themeColor="text1"/>
              <w:left w:val="nil"/>
              <w:bottom w:val="nil"/>
              <w:right w:val="nil"/>
            </w:tcBorders>
            <w:vAlign w:val="center"/>
          </w:tcPr>
          <w:p w14:paraId="08A5215B"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37.691</w:t>
            </w:r>
          </w:p>
        </w:tc>
      </w:tr>
      <w:tr w:rsidR="00142372" w:rsidRPr="00EE4A21" w14:paraId="19142FF7" w14:textId="77777777" w:rsidTr="00151932">
        <w:trPr>
          <w:jc w:val="center"/>
        </w:trPr>
        <w:tc>
          <w:tcPr>
            <w:tcW w:w="0" w:type="auto"/>
            <w:tcBorders>
              <w:top w:val="nil"/>
              <w:left w:val="nil"/>
              <w:bottom w:val="single" w:sz="12" w:space="0" w:color="000000" w:themeColor="text1"/>
              <w:right w:val="nil"/>
            </w:tcBorders>
          </w:tcPr>
          <w:p w14:paraId="2D91AAEB" w14:textId="77777777" w:rsidR="00142372" w:rsidRPr="00EE4A21" w:rsidRDefault="00142372" w:rsidP="0019078C">
            <w:pPr>
              <w:spacing w:after="120"/>
              <w:jc w:val="both"/>
              <w:rPr>
                <w:rFonts w:asciiTheme="majorBidi" w:hAnsiTheme="majorBidi" w:cstheme="majorBidi"/>
                <w:sz w:val="20"/>
                <w:szCs w:val="20"/>
              </w:rPr>
            </w:pPr>
          </w:p>
        </w:tc>
        <w:tc>
          <w:tcPr>
            <w:tcW w:w="1157" w:type="dxa"/>
            <w:tcBorders>
              <w:top w:val="nil"/>
              <w:left w:val="nil"/>
              <w:bottom w:val="single" w:sz="12" w:space="0" w:color="000000" w:themeColor="text1"/>
              <w:right w:val="single" w:sz="12" w:space="0" w:color="000000" w:themeColor="text1"/>
            </w:tcBorders>
          </w:tcPr>
          <w:p w14:paraId="4856C74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PCG</w:t>
            </w:r>
          </w:p>
        </w:tc>
        <w:tc>
          <w:tcPr>
            <w:tcW w:w="1207" w:type="dxa"/>
            <w:tcBorders>
              <w:top w:val="nil"/>
              <w:left w:val="single" w:sz="12" w:space="0" w:color="000000" w:themeColor="text1"/>
              <w:bottom w:val="single" w:sz="12" w:space="0" w:color="000000" w:themeColor="text1"/>
              <w:right w:val="nil"/>
            </w:tcBorders>
            <w:vAlign w:val="center"/>
          </w:tcPr>
          <w:p w14:paraId="442884DA"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30.900</w:t>
            </w:r>
            <w:r w:rsidRPr="00EE4A21">
              <w:rPr>
                <w:rFonts w:asciiTheme="majorBidi" w:eastAsia="Times New Roman" w:hAnsiTheme="majorBidi" w:cstheme="majorBidi"/>
                <w:sz w:val="20"/>
                <w:szCs w:val="20"/>
                <w:vertAlign w:val="superscript"/>
              </w:rPr>
              <w:t>*</w:t>
            </w:r>
          </w:p>
        </w:tc>
        <w:tc>
          <w:tcPr>
            <w:tcW w:w="992" w:type="dxa"/>
            <w:tcBorders>
              <w:top w:val="nil"/>
              <w:left w:val="nil"/>
              <w:bottom w:val="single" w:sz="12" w:space="0" w:color="000000" w:themeColor="text1"/>
              <w:right w:val="nil"/>
            </w:tcBorders>
            <w:vAlign w:val="center"/>
          </w:tcPr>
          <w:p w14:paraId="617D7BA8"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8.393</w:t>
            </w:r>
          </w:p>
        </w:tc>
        <w:tc>
          <w:tcPr>
            <w:tcW w:w="850" w:type="dxa"/>
            <w:tcBorders>
              <w:top w:val="nil"/>
              <w:left w:val="nil"/>
              <w:bottom w:val="single" w:sz="12" w:space="0" w:color="000000" w:themeColor="text1"/>
              <w:right w:val="nil"/>
            </w:tcBorders>
            <w:vAlign w:val="center"/>
          </w:tcPr>
          <w:p w14:paraId="25FDBB6B"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.001</w:t>
            </w:r>
          </w:p>
        </w:tc>
        <w:tc>
          <w:tcPr>
            <w:tcW w:w="1134" w:type="dxa"/>
            <w:tcBorders>
              <w:top w:val="nil"/>
              <w:left w:val="nil"/>
              <w:bottom w:val="single" w:sz="12" w:space="0" w:color="000000" w:themeColor="text1"/>
              <w:right w:val="nil"/>
            </w:tcBorders>
            <w:vAlign w:val="center"/>
          </w:tcPr>
          <w:p w14:paraId="120BB41E"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14.099</w:t>
            </w:r>
          </w:p>
        </w:tc>
        <w:tc>
          <w:tcPr>
            <w:tcW w:w="1336" w:type="dxa"/>
            <w:tcBorders>
              <w:top w:val="nil"/>
              <w:left w:val="nil"/>
              <w:bottom w:val="single" w:sz="12" w:space="0" w:color="000000" w:themeColor="text1"/>
              <w:right w:val="nil"/>
            </w:tcBorders>
            <w:vAlign w:val="center"/>
          </w:tcPr>
          <w:p w14:paraId="660997DF"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47.701</w:t>
            </w:r>
          </w:p>
        </w:tc>
      </w:tr>
      <w:tr w:rsidR="00142372" w:rsidRPr="00EE4A21" w14:paraId="1D61BB10" w14:textId="77777777" w:rsidTr="00151932">
        <w:trPr>
          <w:jc w:val="center"/>
        </w:trPr>
        <w:tc>
          <w:tcPr>
            <w:tcW w:w="0" w:type="auto"/>
            <w:tcBorders>
              <w:top w:val="single" w:sz="12" w:space="0" w:color="000000" w:themeColor="text1"/>
              <w:left w:val="nil"/>
              <w:bottom w:val="single" w:sz="12" w:space="0" w:color="000000" w:themeColor="text1"/>
              <w:right w:val="nil"/>
            </w:tcBorders>
          </w:tcPr>
          <w:p w14:paraId="3680C410"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ACG</w:t>
            </w:r>
          </w:p>
        </w:tc>
        <w:tc>
          <w:tcPr>
            <w:tcW w:w="1157" w:type="dxa"/>
            <w:tcBorders>
              <w:top w:val="single" w:sz="12" w:space="0" w:color="000000" w:themeColor="text1"/>
              <w:left w:val="nil"/>
              <w:bottom w:val="single" w:sz="12" w:space="0" w:color="000000" w:themeColor="text1"/>
              <w:right w:val="single" w:sz="12" w:space="0" w:color="000000" w:themeColor="text1"/>
            </w:tcBorders>
          </w:tcPr>
          <w:p w14:paraId="04EE6F89"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PCG</w:t>
            </w:r>
          </w:p>
        </w:tc>
        <w:tc>
          <w:tcPr>
            <w:tcW w:w="1207" w:type="dxa"/>
            <w:tcBorders>
              <w:top w:val="single" w:sz="12" w:space="0" w:color="000000" w:themeColor="text1"/>
              <w:left w:val="single" w:sz="12" w:space="0" w:color="000000" w:themeColor="text1"/>
              <w:bottom w:val="single" w:sz="12" w:space="0" w:color="000000" w:themeColor="text1"/>
              <w:right w:val="nil"/>
            </w:tcBorders>
            <w:vAlign w:val="center"/>
          </w:tcPr>
          <w:p w14:paraId="4A398674"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10.885</w:t>
            </w:r>
          </w:p>
        </w:tc>
        <w:tc>
          <w:tcPr>
            <w:tcW w:w="992" w:type="dxa"/>
            <w:tcBorders>
              <w:top w:val="single" w:sz="12" w:space="0" w:color="000000" w:themeColor="text1"/>
              <w:left w:val="nil"/>
              <w:bottom w:val="single" w:sz="12" w:space="0" w:color="000000" w:themeColor="text1"/>
              <w:right w:val="nil"/>
            </w:tcBorders>
            <w:vAlign w:val="center"/>
          </w:tcPr>
          <w:p w14:paraId="1BE7E60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8.631</w:t>
            </w:r>
          </w:p>
        </w:tc>
        <w:tc>
          <w:tcPr>
            <w:tcW w:w="850" w:type="dxa"/>
            <w:tcBorders>
              <w:top w:val="single" w:sz="12" w:space="0" w:color="000000" w:themeColor="text1"/>
              <w:left w:val="nil"/>
              <w:bottom w:val="single" w:sz="12" w:space="0" w:color="000000" w:themeColor="text1"/>
              <w:right w:val="nil"/>
            </w:tcBorders>
            <w:vAlign w:val="center"/>
          </w:tcPr>
          <w:p w14:paraId="2A6FBAB6"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.212</w:t>
            </w:r>
          </w:p>
        </w:tc>
        <w:tc>
          <w:tcPr>
            <w:tcW w:w="1134" w:type="dxa"/>
            <w:tcBorders>
              <w:top w:val="single" w:sz="12" w:space="0" w:color="000000" w:themeColor="text1"/>
              <w:left w:val="nil"/>
              <w:bottom w:val="single" w:sz="12" w:space="0" w:color="000000" w:themeColor="text1"/>
              <w:right w:val="nil"/>
            </w:tcBorders>
            <w:vAlign w:val="center"/>
          </w:tcPr>
          <w:p w14:paraId="1B5AA5BF"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-6.392</w:t>
            </w:r>
          </w:p>
        </w:tc>
        <w:tc>
          <w:tcPr>
            <w:tcW w:w="1336" w:type="dxa"/>
            <w:tcBorders>
              <w:top w:val="single" w:sz="12" w:space="0" w:color="000000" w:themeColor="text1"/>
              <w:left w:val="nil"/>
              <w:bottom w:val="single" w:sz="12" w:space="0" w:color="000000" w:themeColor="text1"/>
              <w:right w:val="nil"/>
            </w:tcBorders>
            <w:vAlign w:val="center"/>
          </w:tcPr>
          <w:p w14:paraId="7F954AC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28.163</w:t>
            </w:r>
          </w:p>
        </w:tc>
      </w:tr>
    </w:tbl>
    <w:p w14:paraId="49520C7C" w14:textId="77777777" w:rsidR="00142372" w:rsidRPr="001F2624" w:rsidRDefault="00142372" w:rsidP="0019078C">
      <w:pPr>
        <w:spacing w:after="120" w:line="240" w:lineRule="auto"/>
        <w:jc w:val="both"/>
        <w:rPr>
          <w:rFonts w:asciiTheme="majorBidi" w:hAnsiTheme="majorBidi" w:cstheme="majorBidi"/>
        </w:rPr>
      </w:pPr>
    </w:p>
    <w:p w14:paraId="6BB5C94F"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Furthermore, L.C. performance of the participants on PET posttest, when considering the PET pretest scores as covariate proved significant. As demonstrated in Table 5, there was a significant effect of type of intervention on levels of L.C. performance after controlling for the effect of scores on PET pretest, </w:t>
      </w:r>
      <w:r w:rsidR="009B433F" w:rsidRPr="001F2624">
        <w:rPr>
          <w:rFonts w:asciiTheme="majorBidi" w:hAnsiTheme="majorBidi" w:cstheme="majorBidi"/>
        </w:rPr>
        <w:t>F (</w:t>
      </w:r>
      <w:r w:rsidRPr="001F2624">
        <w:rPr>
          <w:rFonts w:asciiTheme="majorBidi" w:hAnsiTheme="majorBidi" w:cstheme="majorBidi"/>
        </w:rPr>
        <w:t>3, 58) = 12.48, ρ &lt; .001, ƞ</w:t>
      </w:r>
      <w:r w:rsidRPr="003973ED">
        <w:rPr>
          <w:rFonts w:asciiTheme="majorBidi" w:hAnsiTheme="majorBidi" w:cstheme="majorBidi"/>
        </w:rPr>
        <w:t>p2</w:t>
      </w:r>
      <w:r w:rsidRPr="001F2624">
        <w:rPr>
          <w:rFonts w:asciiTheme="majorBidi" w:hAnsiTheme="majorBidi" w:cstheme="majorBidi"/>
        </w:rPr>
        <w:t xml:space="preserve"> = .392.</w:t>
      </w:r>
    </w:p>
    <w:p w14:paraId="37F8DADA" w14:textId="77777777" w:rsidR="004153C4" w:rsidRPr="001F2624" w:rsidRDefault="004153C4" w:rsidP="00151932">
      <w:pPr>
        <w:spacing w:after="120" w:line="240" w:lineRule="auto"/>
        <w:jc w:val="center"/>
        <w:rPr>
          <w:rFonts w:asciiTheme="majorBidi" w:hAnsiTheme="majorBidi" w:cstheme="majorBidi"/>
        </w:rPr>
      </w:pPr>
      <w:r w:rsidRPr="001F2624">
        <w:rPr>
          <w:rFonts w:asciiTheme="majorBidi" w:hAnsiTheme="majorBidi" w:cstheme="majorBidi"/>
        </w:rPr>
        <w:t xml:space="preserve">Table </w:t>
      </w:r>
      <w:r w:rsidR="00151932" w:rsidRPr="001F2624">
        <w:rPr>
          <w:rFonts w:asciiTheme="majorBidi" w:hAnsiTheme="majorBidi" w:cstheme="majorBidi"/>
        </w:rPr>
        <w:t>5</w:t>
      </w:r>
      <w:r w:rsidR="00151932">
        <w:rPr>
          <w:rFonts w:asciiTheme="majorBidi" w:hAnsiTheme="majorBidi" w:cstheme="majorBidi"/>
        </w:rPr>
        <w:t xml:space="preserve">: </w:t>
      </w:r>
      <w:r w:rsidRPr="001F2624">
        <w:rPr>
          <w:rFonts w:asciiTheme="majorBidi" w:eastAsia="Times New Roman" w:hAnsiTheme="majorBidi" w:cstheme="majorBidi"/>
        </w:rPr>
        <w:t xml:space="preserve">ANOVA Test </w:t>
      </w:r>
      <w:r w:rsidR="00151932">
        <w:rPr>
          <w:rFonts w:asciiTheme="majorBidi" w:eastAsia="Times New Roman" w:hAnsiTheme="majorBidi" w:cstheme="majorBidi"/>
        </w:rPr>
        <w:t>on</w:t>
      </w:r>
      <w:r w:rsidR="00151932" w:rsidRPr="001F2624">
        <w:rPr>
          <w:rFonts w:asciiTheme="majorBidi" w:eastAsia="Times New Roman" w:hAnsiTheme="majorBidi" w:cstheme="majorBidi"/>
        </w:rPr>
        <w:t xml:space="preserve"> </w:t>
      </w:r>
      <w:r w:rsidRPr="001F2624">
        <w:rPr>
          <w:rFonts w:asciiTheme="majorBidi" w:eastAsia="Times New Roman" w:hAnsiTheme="majorBidi" w:cstheme="majorBidi"/>
        </w:rPr>
        <w:t xml:space="preserve">PET </w:t>
      </w:r>
      <w:r w:rsidR="00151932" w:rsidRPr="001F2624">
        <w:rPr>
          <w:rFonts w:asciiTheme="majorBidi" w:eastAsia="Times New Roman" w:hAnsiTheme="majorBidi" w:cstheme="majorBidi"/>
        </w:rPr>
        <w:t xml:space="preserve">Listening Section </w:t>
      </w:r>
      <w:r w:rsidR="00151932">
        <w:rPr>
          <w:rFonts w:asciiTheme="majorBidi" w:eastAsia="Times New Roman" w:hAnsiTheme="majorBidi" w:cstheme="majorBidi"/>
        </w:rPr>
        <w:t>by</w:t>
      </w:r>
      <w:r w:rsidR="00151932" w:rsidRPr="001F2624">
        <w:rPr>
          <w:rFonts w:asciiTheme="majorBidi" w:eastAsia="Times New Roman" w:hAnsiTheme="majorBidi" w:cstheme="majorBidi"/>
        </w:rPr>
        <w:t xml:space="preserve"> Covariate</w:t>
      </w:r>
    </w:p>
    <w:tbl>
      <w:tblPr>
        <w:tblW w:w="8624" w:type="dxa"/>
        <w:tblInd w:w="96" w:type="dxa"/>
        <w:tblLook w:val="04A0" w:firstRow="1" w:lastRow="0" w:firstColumn="1" w:lastColumn="0" w:noHBand="0" w:noVBand="1"/>
      </w:tblPr>
      <w:tblGrid>
        <w:gridCol w:w="1997"/>
        <w:gridCol w:w="1628"/>
        <w:gridCol w:w="920"/>
        <w:gridCol w:w="1236"/>
        <w:gridCol w:w="920"/>
        <w:gridCol w:w="920"/>
        <w:gridCol w:w="1003"/>
      </w:tblGrid>
      <w:tr w:rsidR="00142372" w:rsidRPr="00EE4A21" w14:paraId="7D621474" w14:textId="77777777" w:rsidTr="00E347DC">
        <w:trPr>
          <w:trHeight w:val="240"/>
        </w:trPr>
        <w:tc>
          <w:tcPr>
            <w:tcW w:w="1997" w:type="dxa"/>
            <w:tcBorders>
              <w:top w:val="single" w:sz="12" w:space="0" w:color="000000"/>
              <w:bottom w:val="single" w:sz="12" w:space="0" w:color="000000"/>
              <w:right w:val="single" w:sz="12" w:space="0" w:color="000000"/>
            </w:tcBorders>
            <w:shd w:val="clear" w:color="auto" w:fill="auto"/>
            <w:vAlign w:val="center"/>
            <w:hideMark/>
          </w:tcPr>
          <w:p w14:paraId="60F0C079"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Source</w:t>
            </w:r>
          </w:p>
        </w:tc>
        <w:tc>
          <w:tcPr>
            <w:tcW w:w="1628" w:type="dxa"/>
            <w:tcBorders>
              <w:top w:val="single" w:sz="12" w:space="0" w:color="000000"/>
              <w:left w:val="nil"/>
              <w:bottom w:val="single" w:sz="12" w:space="0" w:color="000000"/>
            </w:tcBorders>
            <w:shd w:val="clear" w:color="auto" w:fill="auto"/>
            <w:vAlign w:val="center"/>
            <w:hideMark/>
          </w:tcPr>
          <w:p w14:paraId="0F14D5A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Type III Sum of Squares</w:t>
            </w:r>
          </w:p>
        </w:tc>
        <w:tc>
          <w:tcPr>
            <w:tcW w:w="920" w:type="dxa"/>
            <w:tcBorders>
              <w:top w:val="single" w:sz="12" w:space="0" w:color="000000"/>
              <w:bottom w:val="single" w:sz="12" w:space="0" w:color="000000"/>
            </w:tcBorders>
            <w:shd w:val="clear" w:color="auto" w:fill="auto"/>
            <w:vAlign w:val="center"/>
            <w:hideMark/>
          </w:tcPr>
          <w:p w14:paraId="2D55062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df</w:t>
            </w:r>
          </w:p>
        </w:tc>
        <w:tc>
          <w:tcPr>
            <w:tcW w:w="1236" w:type="dxa"/>
            <w:tcBorders>
              <w:top w:val="single" w:sz="12" w:space="0" w:color="000000"/>
              <w:bottom w:val="single" w:sz="12" w:space="0" w:color="000000"/>
            </w:tcBorders>
            <w:shd w:val="clear" w:color="auto" w:fill="auto"/>
            <w:vAlign w:val="center"/>
            <w:hideMark/>
          </w:tcPr>
          <w:p w14:paraId="31DA5053"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Mean Square</w:t>
            </w:r>
          </w:p>
        </w:tc>
        <w:tc>
          <w:tcPr>
            <w:tcW w:w="920" w:type="dxa"/>
            <w:tcBorders>
              <w:top w:val="single" w:sz="12" w:space="0" w:color="000000"/>
              <w:bottom w:val="single" w:sz="12" w:space="0" w:color="000000"/>
            </w:tcBorders>
            <w:shd w:val="clear" w:color="auto" w:fill="auto"/>
            <w:vAlign w:val="center"/>
            <w:hideMark/>
          </w:tcPr>
          <w:p w14:paraId="1F485C8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F</w:t>
            </w:r>
          </w:p>
        </w:tc>
        <w:tc>
          <w:tcPr>
            <w:tcW w:w="920" w:type="dxa"/>
            <w:tcBorders>
              <w:top w:val="single" w:sz="12" w:space="0" w:color="000000"/>
              <w:bottom w:val="single" w:sz="12" w:space="0" w:color="000000"/>
            </w:tcBorders>
            <w:shd w:val="clear" w:color="auto" w:fill="auto"/>
            <w:vAlign w:val="center"/>
            <w:hideMark/>
          </w:tcPr>
          <w:p w14:paraId="3612F28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Sig.</w:t>
            </w:r>
          </w:p>
        </w:tc>
        <w:tc>
          <w:tcPr>
            <w:tcW w:w="1003" w:type="dxa"/>
            <w:tcBorders>
              <w:top w:val="single" w:sz="12" w:space="0" w:color="000000"/>
              <w:bottom w:val="single" w:sz="12" w:space="0" w:color="000000"/>
            </w:tcBorders>
            <w:shd w:val="clear" w:color="auto" w:fill="auto"/>
            <w:vAlign w:val="center"/>
            <w:hideMark/>
          </w:tcPr>
          <w:p w14:paraId="0FEFCB9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Partial Eta Squared</w:t>
            </w:r>
          </w:p>
        </w:tc>
      </w:tr>
      <w:tr w:rsidR="00142372" w:rsidRPr="00EE4A21" w14:paraId="751EBBDF" w14:textId="77777777" w:rsidTr="00E347DC">
        <w:trPr>
          <w:trHeight w:val="240"/>
        </w:trPr>
        <w:tc>
          <w:tcPr>
            <w:tcW w:w="1997" w:type="dxa"/>
            <w:tcBorders>
              <w:top w:val="single" w:sz="12" w:space="0" w:color="000000"/>
              <w:bottom w:val="single" w:sz="12" w:space="0" w:color="000000"/>
              <w:right w:val="single" w:sz="12" w:space="0" w:color="000000"/>
            </w:tcBorders>
            <w:shd w:val="clear" w:color="auto" w:fill="auto"/>
            <w:vAlign w:val="center"/>
            <w:hideMark/>
          </w:tcPr>
          <w:p w14:paraId="36B7939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group</w:t>
            </w:r>
          </w:p>
        </w:tc>
        <w:tc>
          <w:tcPr>
            <w:tcW w:w="1628" w:type="dxa"/>
            <w:tcBorders>
              <w:top w:val="single" w:sz="12" w:space="0" w:color="000000"/>
              <w:left w:val="nil"/>
              <w:bottom w:val="single" w:sz="12" w:space="0" w:color="000000"/>
            </w:tcBorders>
            <w:shd w:val="clear" w:color="auto" w:fill="auto"/>
            <w:noWrap/>
            <w:vAlign w:val="center"/>
            <w:hideMark/>
          </w:tcPr>
          <w:p w14:paraId="3BA6B00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1598.983</w:t>
            </w:r>
          </w:p>
        </w:tc>
        <w:tc>
          <w:tcPr>
            <w:tcW w:w="920" w:type="dxa"/>
            <w:tcBorders>
              <w:top w:val="single" w:sz="12" w:space="0" w:color="000000"/>
              <w:bottom w:val="single" w:sz="12" w:space="0" w:color="000000"/>
            </w:tcBorders>
            <w:shd w:val="clear" w:color="auto" w:fill="auto"/>
            <w:noWrap/>
            <w:vAlign w:val="center"/>
            <w:hideMark/>
          </w:tcPr>
          <w:p w14:paraId="04BC972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w:t>
            </w:r>
          </w:p>
        </w:tc>
        <w:tc>
          <w:tcPr>
            <w:tcW w:w="1236" w:type="dxa"/>
            <w:tcBorders>
              <w:top w:val="single" w:sz="12" w:space="0" w:color="000000"/>
              <w:bottom w:val="single" w:sz="12" w:space="0" w:color="000000"/>
            </w:tcBorders>
            <w:shd w:val="clear" w:color="auto" w:fill="auto"/>
            <w:noWrap/>
            <w:vAlign w:val="center"/>
            <w:hideMark/>
          </w:tcPr>
          <w:p w14:paraId="5200528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532.994</w:t>
            </w:r>
          </w:p>
        </w:tc>
        <w:tc>
          <w:tcPr>
            <w:tcW w:w="920" w:type="dxa"/>
            <w:tcBorders>
              <w:top w:val="single" w:sz="12" w:space="0" w:color="000000"/>
              <w:bottom w:val="single" w:sz="12" w:space="0" w:color="000000"/>
            </w:tcBorders>
            <w:shd w:val="clear" w:color="auto" w:fill="auto"/>
            <w:noWrap/>
            <w:vAlign w:val="center"/>
            <w:hideMark/>
          </w:tcPr>
          <w:p w14:paraId="716A827E"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12.480</w:t>
            </w:r>
          </w:p>
        </w:tc>
        <w:tc>
          <w:tcPr>
            <w:tcW w:w="920" w:type="dxa"/>
            <w:tcBorders>
              <w:top w:val="single" w:sz="12" w:space="0" w:color="000000"/>
              <w:bottom w:val="single" w:sz="12" w:space="0" w:color="000000"/>
            </w:tcBorders>
            <w:shd w:val="clear" w:color="auto" w:fill="auto"/>
            <w:noWrap/>
            <w:vAlign w:val="center"/>
            <w:hideMark/>
          </w:tcPr>
          <w:p w14:paraId="1E1D153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003" w:type="dxa"/>
            <w:tcBorders>
              <w:top w:val="single" w:sz="12" w:space="0" w:color="000000"/>
              <w:bottom w:val="single" w:sz="12" w:space="0" w:color="000000"/>
            </w:tcBorders>
            <w:shd w:val="clear" w:color="auto" w:fill="auto"/>
            <w:noWrap/>
            <w:vAlign w:val="center"/>
            <w:hideMark/>
          </w:tcPr>
          <w:p w14:paraId="5CC4633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.392</w:t>
            </w:r>
          </w:p>
        </w:tc>
      </w:tr>
    </w:tbl>
    <w:p w14:paraId="371A4F20" w14:textId="77777777" w:rsidR="00142372" w:rsidRPr="001F2624" w:rsidRDefault="00142372" w:rsidP="0019078C">
      <w:pPr>
        <w:spacing w:after="120" w:line="240" w:lineRule="auto"/>
        <w:jc w:val="both"/>
        <w:rPr>
          <w:rFonts w:asciiTheme="majorBidi" w:hAnsiTheme="majorBidi" w:cstheme="majorBidi"/>
        </w:rPr>
      </w:pPr>
    </w:p>
    <w:p w14:paraId="075A54DF"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Considering parameters estimates (Table 6), the performance of EG1 (ρ &lt; .001, ƞ</w:t>
      </w:r>
      <w:r w:rsidRPr="003973ED">
        <w:rPr>
          <w:rFonts w:asciiTheme="majorBidi" w:hAnsiTheme="majorBidi" w:cstheme="majorBidi"/>
        </w:rPr>
        <w:t>p2</w:t>
      </w:r>
      <w:r w:rsidRPr="001F2624">
        <w:rPr>
          <w:rFonts w:asciiTheme="majorBidi" w:hAnsiTheme="majorBidi" w:cstheme="majorBidi"/>
        </w:rPr>
        <w:t xml:space="preserve"> = .325) and EG2 (ρ &lt; .001, ƞ</w:t>
      </w:r>
      <w:r w:rsidRPr="003973ED">
        <w:rPr>
          <w:rFonts w:asciiTheme="majorBidi" w:hAnsiTheme="majorBidi" w:cstheme="majorBidi"/>
        </w:rPr>
        <w:t>p2</w:t>
      </w:r>
      <w:r w:rsidRPr="001F2624">
        <w:rPr>
          <w:rFonts w:asciiTheme="majorBidi" w:hAnsiTheme="majorBidi" w:cstheme="majorBidi"/>
        </w:rPr>
        <w:t xml:space="preserve"> = .254) in improving L.C. performance was reported as significant when compared to PCG. A large effect size was observed in both EG1 and EG2, though the partial eta squared reported on EG2 was borderline (ƞ</w:t>
      </w:r>
      <w:r w:rsidRPr="003973ED">
        <w:rPr>
          <w:rFonts w:asciiTheme="majorBidi" w:hAnsiTheme="majorBidi" w:cstheme="majorBidi"/>
        </w:rPr>
        <w:t>p2</w:t>
      </w:r>
      <w:r w:rsidRPr="001F2624">
        <w:rPr>
          <w:rFonts w:asciiTheme="majorBidi" w:hAnsiTheme="majorBidi" w:cstheme="majorBidi"/>
        </w:rPr>
        <w:t xml:space="preserve"> ≥ .25). Performance of ACG was not significant (ρ = .497).</w:t>
      </w:r>
    </w:p>
    <w:p w14:paraId="2F76A51C" w14:textId="77777777" w:rsidR="00864779" w:rsidRPr="001F2624" w:rsidRDefault="00864779" w:rsidP="00151932">
      <w:pPr>
        <w:spacing w:after="120" w:line="240" w:lineRule="auto"/>
        <w:jc w:val="center"/>
        <w:rPr>
          <w:rFonts w:asciiTheme="majorBidi" w:hAnsiTheme="majorBidi" w:cstheme="majorBidi"/>
        </w:rPr>
      </w:pPr>
      <w:r w:rsidRPr="001F2624">
        <w:rPr>
          <w:rFonts w:asciiTheme="majorBidi" w:hAnsiTheme="majorBidi" w:cstheme="majorBidi"/>
        </w:rPr>
        <w:t xml:space="preserve">Table </w:t>
      </w:r>
      <w:r w:rsidR="00151932" w:rsidRPr="001F2624">
        <w:rPr>
          <w:rFonts w:asciiTheme="majorBidi" w:hAnsiTheme="majorBidi" w:cstheme="majorBidi"/>
        </w:rPr>
        <w:t>6</w:t>
      </w:r>
      <w:r w:rsidR="00151932">
        <w:rPr>
          <w:rFonts w:asciiTheme="majorBidi" w:hAnsiTheme="majorBidi" w:cstheme="majorBidi"/>
        </w:rPr>
        <w:t xml:space="preserve">: </w:t>
      </w:r>
      <w:r w:rsidRPr="001F2624">
        <w:rPr>
          <w:rFonts w:asciiTheme="majorBidi" w:hAnsiTheme="majorBidi" w:cstheme="majorBidi"/>
        </w:rPr>
        <w:t xml:space="preserve">Parameters </w:t>
      </w:r>
      <w:r w:rsidR="00151932" w:rsidRPr="001F2624">
        <w:rPr>
          <w:rFonts w:asciiTheme="majorBidi" w:hAnsiTheme="majorBidi" w:cstheme="majorBidi"/>
        </w:rPr>
        <w:t xml:space="preserve">Estimates </w:t>
      </w:r>
      <w:r w:rsidR="00151932">
        <w:rPr>
          <w:rFonts w:asciiTheme="majorBidi" w:hAnsiTheme="majorBidi" w:cstheme="majorBidi"/>
        </w:rPr>
        <w:t>on</w:t>
      </w:r>
      <w:r w:rsidR="00151932" w:rsidRPr="001F2624">
        <w:rPr>
          <w:rFonts w:asciiTheme="majorBidi" w:hAnsiTheme="majorBidi" w:cstheme="majorBidi"/>
        </w:rPr>
        <w:t xml:space="preserve"> </w:t>
      </w:r>
      <w:r w:rsidR="00151932">
        <w:rPr>
          <w:rFonts w:asciiTheme="majorBidi" w:hAnsiTheme="majorBidi" w:cstheme="majorBidi"/>
        </w:rPr>
        <w:t>the</w:t>
      </w:r>
      <w:r w:rsidR="00151932" w:rsidRPr="001F2624">
        <w:rPr>
          <w:rFonts w:asciiTheme="majorBidi" w:hAnsiTheme="majorBidi" w:cstheme="majorBidi"/>
        </w:rPr>
        <w:t xml:space="preserve"> Effect </w:t>
      </w:r>
      <w:r w:rsidR="009B433F" w:rsidRPr="001F2624">
        <w:rPr>
          <w:rFonts w:asciiTheme="majorBidi" w:hAnsiTheme="majorBidi" w:cstheme="majorBidi"/>
        </w:rPr>
        <w:t>of</w:t>
      </w:r>
      <w:r w:rsidR="00151932" w:rsidRPr="001F2624">
        <w:rPr>
          <w:rFonts w:asciiTheme="majorBidi" w:hAnsiTheme="majorBidi" w:cstheme="majorBidi"/>
        </w:rPr>
        <w:t xml:space="preserve"> Intervention </w:t>
      </w:r>
      <w:r w:rsidR="00151932">
        <w:rPr>
          <w:rFonts w:asciiTheme="majorBidi" w:hAnsiTheme="majorBidi" w:cstheme="majorBidi"/>
        </w:rPr>
        <w:t>on</w:t>
      </w:r>
      <w:r w:rsidR="00151932" w:rsidRPr="001F2624">
        <w:rPr>
          <w:rFonts w:asciiTheme="majorBidi" w:hAnsiTheme="majorBidi" w:cstheme="majorBidi"/>
        </w:rPr>
        <w:t xml:space="preserve"> Listening Comprehension Attainment</w:t>
      </w:r>
    </w:p>
    <w:tbl>
      <w:tblPr>
        <w:tblW w:w="8520" w:type="dxa"/>
        <w:jc w:val="center"/>
        <w:tblLook w:val="04A0" w:firstRow="1" w:lastRow="0" w:firstColumn="1" w:lastColumn="0" w:noHBand="0" w:noVBand="1"/>
      </w:tblPr>
      <w:tblGrid>
        <w:gridCol w:w="1123"/>
        <w:gridCol w:w="1200"/>
        <w:gridCol w:w="920"/>
        <w:gridCol w:w="920"/>
        <w:gridCol w:w="920"/>
        <w:gridCol w:w="1169"/>
        <w:gridCol w:w="1134"/>
        <w:gridCol w:w="1134"/>
      </w:tblGrid>
      <w:tr w:rsidR="00142372" w:rsidRPr="00EE4A21" w14:paraId="5C89BADE" w14:textId="77777777" w:rsidTr="00151932">
        <w:trPr>
          <w:trHeight w:val="240"/>
          <w:jc w:val="center"/>
        </w:trPr>
        <w:tc>
          <w:tcPr>
            <w:tcW w:w="1123" w:type="dxa"/>
            <w:vMerge w:val="restart"/>
            <w:tcBorders>
              <w:top w:val="single" w:sz="12" w:space="0" w:color="000000"/>
              <w:bottom w:val="single" w:sz="12" w:space="0" w:color="000000"/>
              <w:right w:val="single" w:sz="12" w:space="0" w:color="000000"/>
            </w:tcBorders>
            <w:shd w:val="clear" w:color="auto" w:fill="auto"/>
            <w:vAlign w:val="bottom"/>
            <w:hideMark/>
          </w:tcPr>
          <w:p w14:paraId="75A9028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Parameter</w:t>
            </w:r>
          </w:p>
        </w:tc>
        <w:tc>
          <w:tcPr>
            <w:tcW w:w="1200" w:type="dxa"/>
            <w:vMerge w:val="restart"/>
            <w:tcBorders>
              <w:top w:val="single" w:sz="12" w:space="0" w:color="000000"/>
              <w:left w:val="single" w:sz="12" w:space="0" w:color="000000"/>
              <w:bottom w:val="single" w:sz="12" w:space="0" w:color="000000"/>
            </w:tcBorders>
            <w:shd w:val="clear" w:color="auto" w:fill="auto"/>
            <w:vAlign w:val="bottom"/>
            <w:hideMark/>
          </w:tcPr>
          <w:p w14:paraId="6FD3E430"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B</w:t>
            </w:r>
          </w:p>
        </w:tc>
        <w:tc>
          <w:tcPr>
            <w:tcW w:w="920" w:type="dxa"/>
            <w:vMerge w:val="restart"/>
            <w:tcBorders>
              <w:top w:val="single" w:sz="12" w:space="0" w:color="000000"/>
              <w:bottom w:val="single" w:sz="12" w:space="0" w:color="000000"/>
            </w:tcBorders>
            <w:shd w:val="clear" w:color="auto" w:fill="auto"/>
            <w:vAlign w:val="bottom"/>
            <w:hideMark/>
          </w:tcPr>
          <w:p w14:paraId="2EE6072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Std. Error</w:t>
            </w:r>
          </w:p>
        </w:tc>
        <w:tc>
          <w:tcPr>
            <w:tcW w:w="920" w:type="dxa"/>
            <w:vMerge w:val="restart"/>
            <w:tcBorders>
              <w:top w:val="single" w:sz="12" w:space="0" w:color="000000"/>
              <w:bottom w:val="single" w:sz="12" w:space="0" w:color="000000"/>
            </w:tcBorders>
            <w:shd w:val="clear" w:color="auto" w:fill="auto"/>
            <w:vAlign w:val="bottom"/>
            <w:hideMark/>
          </w:tcPr>
          <w:p w14:paraId="49ACB3B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t</w:t>
            </w:r>
          </w:p>
        </w:tc>
        <w:tc>
          <w:tcPr>
            <w:tcW w:w="920" w:type="dxa"/>
            <w:vMerge w:val="restart"/>
            <w:tcBorders>
              <w:top w:val="single" w:sz="12" w:space="0" w:color="000000"/>
              <w:bottom w:val="single" w:sz="12" w:space="0" w:color="000000"/>
            </w:tcBorders>
            <w:shd w:val="clear" w:color="auto" w:fill="auto"/>
            <w:vAlign w:val="bottom"/>
            <w:hideMark/>
          </w:tcPr>
          <w:p w14:paraId="0178345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Sig.</w:t>
            </w:r>
          </w:p>
        </w:tc>
        <w:tc>
          <w:tcPr>
            <w:tcW w:w="2303" w:type="dxa"/>
            <w:gridSpan w:val="2"/>
            <w:tcBorders>
              <w:top w:val="single" w:sz="12" w:space="0" w:color="000000"/>
              <w:bottom w:val="single" w:sz="4" w:space="0" w:color="000000"/>
            </w:tcBorders>
            <w:shd w:val="clear" w:color="auto" w:fill="auto"/>
            <w:vAlign w:val="bottom"/>
            <w:hideMark/>
          </w:tcPr>
          <w:p w14:paraId="7B7C25BF"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95% Confidence Interval</w:t>
            </w:r>
          </w:p>
        </w:tc>
        <w:tc>
          <w:tcPr>
            <w:tcW w:w="1134" w:type="dxa"/>
            <w:vMerge w:val="restart"/>
            <w:tcBorders>
              <w:top w:val="single" w:sz="12" w:space="0" w:color="000000"/>
              <w:bottom w:val="single" w:sz="12" w:space="0" w:color="000000"/>
            </w:tcBorders>
            <w:shd w:val="clear" w:color="auto" w:fill="auto"/>
            <w:vAlign w:val="bottom"/>
            <w:hideMark/>
          </w:tcPr>
          <w:p w14:paraId="64C1092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Partial Eta Squared</w:t>
            </w:r>
          </w:p>
        </w:tc>
      </w:tr>
      <w:tr w:rsidR="00142372" w:rsidRPr="00EE4A21" w14:paraId="3224C5B4" w14:textId="77777777" w:rsidTr="00151932">
        <w:trPr>
          <w:trHeight w:val="240"/>
          <w:jc w:val="center"/>
        </w:trPr>
        <w:tc>
          <w:tcPr>
            <w:tcW w:w="1123" w:type="dxa"/>
            <w:vMerge/>
            <w:tcBorders>
              <w:top w:val="single" w:sz="12" w:space="0" w:color="000000"/>
              <w:bottom w:val="single" w:sz="12" w:space="0" w:color="000000"/>
              <w:right w:val="single" w:sz="12" w:space="0" w:color="000000"/>
            </w:tcBorders>
            <w:vAlign w:val="center"/>
            <w:hideMark/>
          </w:tcPr>
          <w:p w14:paraId="2AD2C75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1200" w:type="dxa"/>
            <w:vMerge/>
            <w:tcBorders>
              <w:top w:val="single" w:sz="12" w:space="0" w:color="000000"/>
              <w:left w:val="single" w:sz="12" w:space="0" w:color="000000"/>
              <w:bottom w:val="single" w:sz="12" w:space="0" w:color="000000"/>
            </w:tcBorders>
            <w:vAlign w:val="center"/>
            <w:hideMark/>
          </w:tcPr>
          <w:p w14:paraId="733635A3"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920" w:type="dxa"/>
            <w:vMerge/>
            <w:tcBorders>
              <w:top w:val="single" w:sz="12" w:space="0" w:color="000000"/>
              <w:bottom w:val="single" w:sz="12" w:space="0" w:color="000000"/>
            </w:tcBorders>
            <w:vAlign w:val="center"/>
            <w:hideMark/>
          </w:tcPr>
          <w:p w14:paraId="01B490A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920" w:type="dxa"/>
            <w:vMerge/>
            <w:tcBorders>
              <w:top w:val="single" w:sz="12" w:space="0" w:color="000000"/>
              <w:bottom w:val="single" w:sz="12" w:space="0" w:color="000000"/>
            </w:tcBorders>
            <w:vAlign w:val="center"/>
            <w:hideMark/>
          </w:tcPr>
          <w:p w14:paraId="071EE40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920" w:type="dxa"/>
            <w:vMerge/>
            <w:tcBorders>
              <w:top w:val="single" w:sz="12" w:space="0" w:color="000000"/>
              <w:bottom w:val="single" w:sz="12" w:space="0" w:color="000000"/>
            </w:tcBorders>
            <w:vAlign w:val="center"/>
            <w:hideMark/>
          </w:tcPr>
          <w:p w14:paraId="471F0709"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c>
          <w:tcPr>
            <w:tcW w:w="1169" w:type="dxa"/>
            <w:tcBorders>
              <w:top w:val="nil"/>
              <w:bottom w:val="single" w:sz="12" w:space="0" w:color="000000"/>
            </w:tcBorders>
            <w:shd w:val="clear" w:color="auto" w:fill="auto"/>
            <w:vAlign w:val="bottom"/>
            <w:hideMark/>
          </w:tcPr>
          <w:p w14:paraId="0C5DC5F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Lower Bound</w:t>
            </w:r>
          </w:p>
        </w:tc>
        <w:tc>
          <w:tcPr>
            <w:tcW w:w="1134" w:type="dxa"/>
            <w:tcBorders>
              <w:top w:val="nil"/>
              <w:bottom w:val="single" w:sz="12" w:space="0" w:color="000000"/>
            </w:tcBorders>
            <w:shd w:val="clear" w:color="auto" w:fill="auto"/>
            <w:vAlign w:val="bottom"/>
            <w:hideMark/>
          </w:tcPr>
          <w:p w14:paraId="04808042"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Upper Bound</w:t>
            </w:r>
          </w:p>
        </w:tc>
        <w:tc>
          <w:tcPr>
            <w:tcW w:w="1134" w:type="dxa"/>
            <w:vMerge/>
            <w:tcBorders>
              <w:top w:val="single" w:sz="12" w:space="0" w:color="000000"/>
              <w:bottom w:val="single" w:sz="12" w:space="0" w:color="000000"/>
            </w:tcBorders>
            <w:vAlign w:val="center"/>
            <w:hideMark/>
          </w:tcPr>
          <w:p w14:paraId="50C50A30"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p>
        </w:tc>
      </w:tr>
      <w:tr w:rsidR="00142372" w:rsidRPr="00EE4A21" w14:paraId="511C7B54" w14:textId="77777777" w:rsidTr="00151932">
        <w:trPr>
          <w:trHeight w:val="240"/>
          <w:jc w:val="center"/>
        </w:trPr>
        <w:tc>
          <w:tcPr>
            <w:tcW w:w="1123" w:type="dxa"/>
            <w:tcBorders>
              <w:top w:val="single" w:sz="4" w:space="0" w:color="000000"/>
              <w:right w:val="single" w:sz="12" w:space="0" w:color="000000"/>
            </w:tcBorders>
            <w:shd w:val="clear" w:color="auto" w:fill="auto"/>
            <w:hideMark/>
          </w:tcPr>
          <w:p w14:paraId="47C1644E"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EG1</w:t>
            </w:r>
          </w:p>
        </w:tc>
        <w:tc>
          <w:tcPr>
            <w:tcW w:w="1200" w:type="dxa"/>
            <w:tcBorders>
              <w:top w:val="single" w:sz="4" w:space="0" w:color="000000"/>
              <w:left w:val="nil"/>
            </w:tcBorders>
            <w:shd w:val="clear" w:color="auto" w:fill="auto"/>
            <w:noWrap/>
            <w:vAlign w:val="center"/>
            <w:hideMark/>
          </w:tcPr>
          <w:p w14:paraId="6131DCF9"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10.536</w:t>
            </w:r>
          </w:p>
        </w:tc>
        <w:tc>
          <w:tcPr>
            <w:tcW w:w="920" w:type="dxa"/>
            <w:tcBorders>
              <w:top w:val="single" w:sz="4" w:space="0" w:color="000000"/>
            </w:tcBorders>
            <w:shd w:val="clear" w:color="auto" w:fill="auto"/>
            <w:noWrap/>
            <w:vAlign w:val="center"/>
            <w:hideMark/>
          </w:tcPr>
          <w:p w14:paraId="50F7381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2.368</w:t>
            </w:r>
          </w:p>
        </w:tc>
        <w:tc>
          <w:tcPr>
            <w:tcW w:w="920" w:type="dxa"/>
            <w:tcBorders>
              <w:top w:val="single" w:sz="4" w:space="0" w:color="000000"/>
            </w:tcBorders>
            <w:shd w:val="clear" w:color="auto" w:fill="auto"/>
            <w:noWrap/>
            <w:vAlign w:val="center"/>
            <w:hideMark/>
          </w:tcPr>
          <w:p w14:paraId="372F98F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4.449</w:t>
            </w:r>
          </w:p>
        </w:tc>
        <w:tc>
          <w:tcPr>
            <w:tcW w:w="920" w:type="dxa"/>
            <w:tcBorders>
              <w:top w:val="single" w:sz="4" w:space="0" w:color="000000"/>
            </w:tcBorders>
            <w:shd w:val="clear" w:color="auto" w:fill="auto"/>
            <w:noWrap/>
            <w:vAlign w:val="center"/>
            <w:hideMark/>
          </w:tcPr>
          <w:p w14:paraId="380BB73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69" w:type="dxa"/>
            <w:tcBorders>
              <w:top w:val="single" w:sz="4" w:space="0" w:color="000000"/>
            </w:tcBorders>
            <w:shd w:val="clear" w:color="auto" w:fill="auto"/>
            <w:noWrap/>
            <w:vAlign w:val="center"/>
            <w:hideMark/>
          </w:tcPr>
          <w:p w14:paraId="34815688"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5.796</w:t>
            </w:r>
          </w:p>
        </w:tc>
        <w:tc>
          <w:tcPr>
            <w:tcW w:w="1134" w:type="dxa"/>
            <w:tcBorders>
              <w:top w:val="single" w:sz="4" w:space="0" w:color="000000"/>
            </w:tcBorders>
            <w:shd w:val="clear" w:color="auto" w:fill="auto"/>
            <w:noWrap/>
            <w:vAlign w:val="center"/>
            <w:hideMark/>
          </w:tcPr>
          <w:p w14:paraId="60E18229"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15.276</w:t>
            </w:r>
          </w:p>
        </w:tc>
        <w:tc>
          <w:tcPr>
            <w:tcW w:w="1134" w:type="dxa"/>
            <w:tcBorders>
              <w:top w:val="single" w:sz="4" w:space="0" w:color="000000"/>
            </w:tcBorders>
            <w:shd w:val="clear" w:color="auto" w:fill="auto"/>
            <w:noWrap/>
            <w:vAlign w:val="center"/>
            <w:hideMark/>
          </w:tcPr>
          <w:p w14:paraId="464B482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.325</w:t>
            </w:r>
          </w:p>
        </w:tc>
      </w:tr>
      <w:tr w:rsidR="00142372" w:rsidRPr="00EE4A21" w14:paraId="13D676FF" w14:textId="77777777" w:rsidTr="00151932">
        <w:trPr>
          <w:trHeight w:val="240"/>
          <w:jc w:val="center"/>
        </w:trPr>
        <w:tc>
          <w:tcPr>
            <w:tcW w:w="1123" w:type="dxa"/>
            <w:tcBorders>
              <w:bottom w:val="nil"/>
              <w:right w:val="single" w:sz="12" w:space="0" w:color="000000"/>
            </w:tcBorders>
            <w:shd w:val="clear" w:color="auto" w:fill="auto"/>
            <w:hideMark/>
          </w:tcPr>
          <w:p w14:paraId="4CB419F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EG2</w:t>
            </w:r>
          </w:p>
        </w:tc>
        <w:tc>
          <w:tcPr>
            <w:tcW w:w="1200" w:type="dxa"/>
            <w:tcBorders>
              <w:left w:val="nil"/>
              <w:bottom w:val="nil"/>
            </w:tcBorders>
            <w:shd w:val="clear" w:color="auto" w:fill="auto"/>
            <w:noWrap/>
            <w:vAlign w:val="center"/>
            <w:hideMark/>
          </w:tcPr>
          <w:p w14:paraId="3454C10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12.540</w:t>
            </w:r>
          </w:p>
        </w:tc>
        <w:tc>
          <w:tcPr>
            <w:tcW w:w="920" w:type="dxa"/>
            <w:tcBorders>
              <w:bottom w:val="nil"/>
            </w:tcBorders>
            <w:shd w:val="clear" w:color="auto" w:fill="auto"/>
            <w:noWrap/>
            <w:vAlign w:val="center"/>
            <w:hideMark/>
          </w:tcPr>
          <w:p w14:paraId="327E9232"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2.374</w:t>
            </w:r>
          </w:p>
        </w:tc>
        <w:tc>
          <w:tcPr>
            <w:tcW w:w="920" w:type="dxa"/>
            <w:tcBorders>
              <w:bottom w:val="nil"/>
            </w:tcBorders>
            <w:shd w:val="clear" w:color="auto" w:fill="auto"/>
            <w:noWrap/>
            <w:vAlign w:val="center"/>
            <w:hideMark/>
          </w:tcPr>
          <w:p w14:paraId="3CBB61C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5.282</w:t>
            </w:r>
          </w:p>
        </w:tc>
        <w:tc>
          <w:tcPr>
            <w:tcW w:w="920" w:type="dxa"/>
            <w:tcBorders>
              <w:bottom w:val="nil"/>
            </w:tcBorders>
            <w:shd w:val="clear" w:color="auto" w:fill="auto"/>
            <w:noWrap/>
            <w:vAlign w:val="center"/>
            <w:hideMark/>
          </w:tcPr>
          <w:p w14:paraId="7BA2F26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69" w:type="dxa"/>
            <w:tcBorders>
              <w:bottom w:val="nil"/>
            </w:tcBorders>
            <w:shd w:val="clear" w:color="auto" w:fill="auto"/>
            <w:noWrap/>
            <w:vAlign w:val="center"/>
            <w:hideMark/>
          </w:tcPr>
          <w:p w14:paraId="353AFEF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7.788</w:t>
            </w:r>
          </w:p>
        </w:tc>
        <w:tc>
          <w:tcPr>
            <w:tcW w:w="1134" w:type="dxa"/>
            <w:tcBorders>
              <w:bottom w:val="nil"/>
            </w:tcBorders>
            <w:shd w:val="clear" w:color="auto" w:fill="auto"/>
            <w:noWrap/>
            <w:vAlign w:val="center"/>
            <w:hideMark/>
          </w:tcPr>
          <w:p w14:paraId="3354FD2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17.292</w:t>
            </w:r>
          </w:p>
        </w:tc>
        <w:tc>
          <w:tcPr>
            <w:tcW w:w="1134" w:type="dxa"/>
            <w:tcBorders>
              <w:bottom w:val="nil"/>
            </w:tcBorders>
            <w:shd w:val="clear" w:color="auto" w:fill="auto"/>
            <w:noWrap/>
            <w:vAlign w:val="center"/>
            <w:hideMark/>
          </w:tcPr>
          <w:p w14:paraId="5E80F226"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254</w:t>
            </w:r>
          </w:p>
        </w:tc>
      </w:tr>
      <w:tr w:rsidR="00142372" w:rsidRPr="00EE4A21" w14:paraId="50C7A49D" w14:textId="77777777" w:rsidTr="00151932">
        <w:trPr>
          <w:trHeight w:val="240"/>
          <w:jc w:val="center"/>
        </w:trPr>
        <w:tc>
          <w:tcPr>
            <w:tcW w:w="1123" w:type="dxa"/>
            <w:tcBorders>
              <w:top w:val="nil"/>
              <w:bottom w:val="nil"/>
              <w:right w:val="single" w:sz="12" w:space="0" w:color="000000"/>
            </w:tcBorders>
            <w:shd w:val="clear" w:color="auto" w:fill="auto"/>
            <w:hideMark/>
          </w:tcPr>
          <w:p w14:paraId="259FCA4A"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ACG</w:t>
            </w:r>
          </w:p>
        </w:tc>
        <w:tc>
          <w:tcPr>
            <w:tcW w:w="1200" w:type="dxa"/>
            <w:tcBorders>
              <w:top w:val="nil"/>
              <w:left w:val="nil"/>
              <w:bottom w:val="nil"/>
            </w:tcBorders>
            <w:shd w:val="clear" w:color="auto" w:fill="auto"/>
            <w:noWrap/>
            <w:vAlign w:val="center"/>
            <w:hideMark/>
          </w:tcPr>
          <w:p w14:paraId="7E202E74"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1.645</w:t>
            </w:r>
          </w:p>
        </w:tc>
        <w:tc>
          <w:tcPr>
            <w:tcW w:w="920" w:type="dxa"/>
            <w:tcBorders>
              <w:top w:val="nil"/>
              <w:bottom w:val="nil"/>
            </w:tcBorders>
            <w:shd w:val="clear" w:color="auto" w:fill="auto"/>
            <w:noWrap/>
            <w:vAlign w:val="center"/>
            <w:hideMark/>
          </w:tcPr>
          <w:p w14:paraId="33A31379"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2.407</w:t>
            </w:r>
          </w:p>
        </w:tc>
        <w:tc>
          <w:tcPr>
            <w:tcW w:w="920" w:type="dxa"/>
            <w:tcBorders>
              <w:top w:val="nil"/>
              <w:bottom w:val="nil"/>
            </w:tcBorders>
            <w:shd w:val="clear" w:color="auto" w:fill="auto"/>
            <w:noWrap/>
            <w:vAlign w:val="center"/>
            <w:hideMark/>
          </w:tcPr>
          <w:p w14:paraId="122EE233"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.684</w:t>
            </w:r>
          </w:p>
        </w:tc>
        <w:tc>
          <w:tcPr>
            <w:tcW w:w="920" w:type="dxa"/>
            <w:tcBorders>
              <w:top w:val="nil"/>
              <w:bottom w:val="nil"/>
            </w:tcBorders>
            <w:shd w:val="clear" w:color="auto" w:fill="auto"/>
            <w:noWrap/>
            <w:vAlign w:val="center"/>
            <w:hideMark/>
          </w:tcPr>
          <w:p w14:paraId="2BA87ED1"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.497</w:t>
            </w:r>
          </w:p>
        </w:tc>
        <w:tc>
          <w:tcPr>
            <w:tcW w:w="1169" w:type="dxa"/>
            <w:tcBorders>
              <w:top w:val="nil"/>
              <w:bottom w:val="nil"/>
            </w:tcBorders>
            <w:shd w:val="clear" w:color="auto" w:fill="auto"/>
            <w:noWrap/>
            <w:vAlign w:val="center"/>
            <w:hideMark/>
          </w:tcPr>
          <w:p w14:paraId="7A15EBEB"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-3.172</w:t>
            </w:r>
          </w:p>
        </w:tc>
        <w:tc>
          <w:tcPr>
            <w:tcW w:w="1134" w:type="dxa"/>
            <w:tcBorders>
              <w:top w:val="nil"/>
              <w:bottom w:val="nil"/>
            </w:tcBorders>
            <w:shd w:val="clear" w:color="auto" w:fill="auto"/>
            <w:noWrap/>
            <w:vAlign w:val="center"/>
            <w:hideMark/>
          </w:tcPr>
          <w:p w14:paraId="360887F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6.463</w:t>
            </w:r>
          </w:p>
        </w:tc>
        <w:tc>
          <w:tcPr>
            <w:tcW w:w="1134" w:type="dxa"/>
            <w:tcBorders>
              <w:top w:val="nil"/>
            </w:tcBorders>
            <w:shd w:val="clear" w:color="auto" w:fill="auto"/>
            <w:noWrap/>
            <w:vAlign w:val="center"/>
            <w:hideMark/>
          </w:tcPr>
          <w:p w14:paraId="0054D04C"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.008</w:t>
            </w:r>
          </w:p>
        </w:tc>
      </w:tr>
      <w:tr w:rsidR="00142372" w:rsidRPr="00EE4A21" w14:paraId="3BAE4FF7" w14:textId="77777777" w:rsidTr="00151932">
        <w:trPr>
          <w:trHeight w:val="240"/>
          <w:jc w:val="center"/>
        </w:trPr>
        <w:tc>
          <w:tcPr>
            <w:tcW w:w="1123" w:type="dxa"/>
            <w:tcBorders>
              <w:top w:val="nil"/>
              <w:bottom w:val="single" w:sz="12" w:space="0" w:color="000000"/>
              <w:right w:val="single" w:sz="12" w:space="0" w:color="000000"/>
            </w:tcBorders>
            <w:shd w:val="clear" w:color="auto" w:fill="auto"/>
            <w:hideMark/>
          </w:tcPr>
          <w:p w14:paraId="1602ECF0"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PCG</w:t>
            </w:r>
          </w:p>
        </w:tc>
        <w:tc>
          <w:tcPr>
            <w:tcW w:w="1200" w:type="dxa"/>
            <w:tcBorders>
              <w:top w:val="nil"/>
              <w:left w:val="nil"/>
              <w:bottom w:val="single" w:sz="12" w:space="0" w:color="000000"/>
            </w:tcBorders>
            <w:shd w:val="clear" w:color="auto" w:fill="auto"/>
            <w:noWrap/>
            <w:vAlign w:val="center"/>
            <w:hideMark/>
          </w:tcPr>
          <w:p w14:paraId="0948632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w:t>
            </w:r>
            <w:r w:rsidRPr="00EE4A21">
              <w:rPr>
                <w:rFonts w:asciiTheme="majorBidi" w:eastAsia="Times New Roman" w:hAnsiTheme="majorBidi" w:cstheme="majorBidi"/>
                <w:sz w:val="20"/>
                <w:szCs w:val="20"/>
                <w:vertAlign w:val="superscript"/>
              </w:rPr>
              <w:t>a</w:t>
            </w:r>
          </w:p>
        </w:tc>
        <w:tc>
          <w:tcPr>
            <w:tcW w:w="920" w:type="dxa"/>
            <w:tcBorders>
              <w:top w:val="nil"/>
              <w:bottom w:val="single" w:sz="12" w:space="0" w:color="000000"/>
            </w:tcBorders>
            <w:shd w:val="clear" w:color="auto" w:fill="auto"/>
            <w:noWrap/>
            <w:vAlign w:val="center"/>
            <w:hideMark/>
          </w:tcPr>
          <w:p w14:paraId="39103F82"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920" w:type="dxa"/>
            <w:tcBorders>
              <w:top w:val="nil"/>
              <w:bottom w:val="single" w:sz="12" w:space="0" w:color="000000"/>
            </w:tcBorders>
            <w:shd w:val="clear" w:color="auto" w:fill="auto"/>
            <w:noWrap/>
            <w:vAlign w:val="center"/>
            <w:hideMark/>
          </w:tcPr>
          <w:p w14:paraId="3F61397D"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920" w:type="dxa"/>
            <w:tcBorders>
              <w:top w:val="nil"/>
              <w:bottom w:val="single" w:sz="12" w:space="0" w:color="000000"/>
            </w:tcBorders>
            <w:shd w:val="clear" w:color="auto" w:fill="auto"/>
            <w:noWrap/>
            <w:vAlign w:val="center"/>
            <w:hideMark/>
          </w:tcPr>
          <w:p w14:paraId="0FE7536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1169" w:type="dxa"/>
            <w:tcBorders>
              <w:top w:val="nil"/>
              <w:bottom w:val="single" w:sz="12" w:space="0" w:color="000000"/>
            </w:tcBorders>
            <w:shd w:val="clear" w:color="auto" w:fill="auto"/>
            <w:noWrap/>
            <w:vAlign w:val="center"/>
            <w:hideMark/>
          </w:tcPr>
          <w:p w14:paraId="3876FB25"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1134" w:type="dxa"/>
            <w:tcBorders>
              <w:top w:val="nil"/>
              <w:bottom w:val="single" w:sz="12" w:space="0" w:color="000000"/>
            </w:tcBorders>
            <w:shd w:val="clear" w:color="auto" w:fill="auto"/>
            <w:noWrap/>
            <w:vAlign w:val="center"/>
            <w:hideMark/>
          </w:tcPr>
          <w:p w14:paraId="478D8FC9"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c>
          <w:tcPr>
            <w:tcW w:w="1134" w:type="dxa"/>
            <w:tcBorders>
              <w:top w:val="nil"/>
              <w:bottom w:val="single" w:sz="12" w:space="0" w:color="000000"/>
            </w:tcBorders>
            <w:shd w:val="clear" w:color="auto" w:fill="auto"/>
            <w:noWrap/>
            <w:vAlign w:val="center"/>
            <w:hideMark/>
          </w:tcPr>
          <w:p w14:paraId="1CD1E797" w14:textId="77777777" w:rsidR="00142372" w:rsidRPr="00EE4A21" w:rsidRDefault="00142372" w:rsidP="0019078C">
            <w:pPr>
              <w:spacing w:after="120" w:line="240" w:lineRule="auto"/>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 </w:t>
            </w:r>
          </w:p>
        </w:tc>
      </w:tr>
    </w:tbl>
    <w:p w14:paraId="293E94D8" w14:textId="77777777" w:rsidR="00142372" w:rsidRPr="001F2624" w:rsidRDefault="00142372" w:rsidP="0019078C">
      <w:pPr>
        <w:spacing w:after="120" w:line="240" w:lineRule="auto"/>
        <w:jc w:val="both"/>
        <w:rPr>
          <w:rFonts w:asciiTheme="majorBidi" w:hAnsiTheme="majorBidi" w:cstheme="majorBidi"/>
        </w:rPr>
      </w:pPr>
    </w:p>
    <w:p w14:paraId="60E0DB56"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With regard to post hoc pairwise comparisons results (Table 7), EG1’s (ρ = .001) and EG2’s (ρ &lt; .001) interventions also proved significantly better than ACG’s in inducing improvement in L.C. performance.</w:t>
      </w:r>
    </w:p>
    <w:p w14:paraId="2D4B6D47" w14:textId="77777777" w:rsidR="00864779" w:rsidRPr="001F2624" w:rsidRDefault="00864779" w:rsidP="00151932">
      <w:pPr>
        <w:spacing w:after="120" w:line="240" w:lineRule="auto"/>
        <w:jc w:val="center"/>
        <w:rPr>
          <w:rFonts w:asciiTheme="majorBidi" w:hAnsiTheme="majorBidi" w:cstheme="majorBidi"/>
        </w:rPr>
      </w:pPr>
      <w:r w:rsidRPr="001F2624">
        <w:rPr>
          <w:rFonts w:asciiTheme="majorBidi" w:hAnsiTheme="majorBidi" w:cstheme="majorBidi"/>
        </w:rPr>
        <w:t xml:space="preserve">Table </w:t>
      </w:r>
      <w:r w:rsidR="00151932" w:rsidRPr="001F2624">
        <w:rPr>
          <w:rFonts w:asciiTheme="majorBidi" w:hAnsiTheme="majorBidi" w:cstheme="majorBidi"/>
        </w:rPr>
        <w:t>7</w:t>
      </w:r>
      <w:r w:rsidR="00151932">
        <w:rPr>
          <w:rFonts w:asciiTheme="majorBidi" w:hAnsiTheme="majorBidi" w:cstheme="majorBidi"/>
        </w:rPr>
        <w:t xml:space="preserve">: </w:t>
      </w:r>
      <w:r w:rsidRPr="001F2624">
        <w:rPr>
          <w:rFonts w:asciiTheme="majorBidi" w:hAnsiTheme="majorBidi" w:cstheme="majorBidi"/>
        </w:rPr>
        <w:t xml:space="preserve">Pairwise </w:t>
      </w:r>
      <w:r w:rsidR="00151932" w:rsidRPr="001F2624">
        <w:rPr>
          <w:rFonts w:asciiTheme="majorBidi" w:hAnsiTheme="majorBidi" w:cstheme="majorBidi"/>
        </w:rPr>
        <w:t xml:space="preserve">Comparison </w:t>
      </w:r>
      <w:r w:rsidR="00151932">
        <w:rPr>
          <w:rFonts w:asciiTheme="majorBidi" w:hAnsiTheme="majorBidi" w:cstheme="majorBidi"/>
        </w:rPr>
        <w:t>of</w:t>
      </w:r>
      <w:r w:rsidR="00151932" w:rsidRPr="001F2624">
        <w:rPr>
          <w:rFonts w:asciiTheme="majorBidi" w:hAnsiTheme="majorBidi" w:cstheme="majorBidi"/>
        </w:rPr>
        <w:t xml:space="preserve"> Four Groups </w:t>
      </w:r>
      <w:r w:rsidR="00151932">
        <w:rPr>
          <w:rFonts w:asciiTheme="majorBidi" w:hAnsiTheme="majorBidi" w:cstheme="majorBidi"/>
        </w:rPr>
        <w:t>on</w:t>
      </w:r>
      <w:r w:rsidR="00151932" w:rsidRPr="001F2624">
        <w:rPr>
          <w:rFonts w:asciiTheme="majorBidi" w:hAnsiTheme="majorBidi" w:cstheme="majorBidi"/>
        </w:rPr>
        <w:t xml:space="preserve"> </w:t>
      </w:r>
      <w:r w:rsidR="00151932">
        <w:rPr>
          <w:rFonts w:asciiTheme="majorBidi" w:hAnsiTheme="majorBidi" w:cstheme="majorBidi"/>
        </w:rPr>
        <w:t>the</w:t>
      </w:r>
      <w:r w:rsidR="00151932" w:rsidRPr="001F2624">
        <w:rPr>
          <w:rFonts w:asciiTheme="majorBidi" w:hAnsiTheme="majorBidi" w:cstheme="majorBidi"/>
        </w:rPr>
        <w:t xml:space="preserve"> Effect </w:t>
      </w:r>
      <w:r w:rsidR="00151932">
        <w:rPr>
          <w:rFonts w:asciiTheme="majorBidi" w:hAnsiTheme="majorBidi" w:cstheme="majorBidi"/>
        </w:rPr>
        <w:t>of</w:t>
      </w:r>
      <w:r w:rsidR="00151932" w:rsidRPr="001F2624">
        <w:rPr>
          <w:rFonts w:asciiTheme="majorBidi" w:hAnsiTheme="majorBidi" w:cstheme="majorBidi"/>
        </w:rPr>
        <w:t xml:space="preserve"> Intervention </w:t>
      </w:r>
      <w:r w:rsidR="00151932">
        <w:rPr>
          <w:rFonts w:asciiTheme="majorBidi" w:hAnsiTheme="majorBidi" w:cstheme="majorBidi"/>
        </w:rPr>
        <w:t>on</w:t>
      </w:r>
      <w:r w:rsidR="00151932" w:rsidRPr="001F2624">
        <w:rPr>
          <w:rFonts w:asciiTheme="majorBidi" w:hAnsiTheme="majorBidi" w:cstheme="majorBidi"/>
        </w:rPr>
        <w:t xml:space="preserve"> Listening Comprehension Attainment</w:t>
      </w:r>
    </w:p>
    <w:tbl>
      <w:tblPr>
        <w:tblStyle w:val="TableGrid"/>
        <w:tblW w:w="0" w:type="auto"/>
        <w:jc w:val="center"/>
        <w:tblLook w:val="04A0" w:firstRow="1" w:lastRow="0" w:firstColumn="1" w:lastColumn="0" w:noHBand="0" w:noVBand="1"/>
      </w:tblPr>
      <w:tblGrid>
        <w:gridCol w:w="933"/>
        <w:gridCol w:w="1157"/>
        <w:gridCol w:w="1207"/>
        <w:gridCol w:w="992"/>
        <w:gridCol w:w="850"/>
        <w:gridCol w:w="1134"/>
        <w:gridCol w:w="1336"/>
      </w:tblGrid>
      <w:tr w:rsidR="00142372" w:rsidRPr="00EE4A21" w14:paraId="0ACADD4F" w14:textId="77777777" w:rsidTr="00151932">
        <w:trPr>
          <w:trHeight w:val="199"/>
          <w:jc w:val="center"/>
        </w:trPr>
        <w:tc>
          <w:tcPr>
            <w:tcW w:w="0" w:type="auto"/>
            <w:vMerge w:val="restart"/>
            <w:tcBorders>
              <w:top w:val="single" w:sz="12" w:space="0" w:color="000000" w:themeColor="text1"/>
              <w:left w:val="nil"/>
              <w:bottom w:val="single" w:sz="12" w:space="0" w:color="000000" w:themeColor="text1"/>
              <w:right w:val="nil"/>
            </w:tcBorders>
            <w:vAlign w:val="bottom"/>
          </w:tcPr>
          <w:p w14:paraId="41ABFA02"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(I) group</w:t>
            </w:r>
          </w:p>
        </w:tc>
        <w:tc>
          <w:tcPr>
            <w:tcW w:w="1157" w:type="dxa"/>
            <w:vMerge w:val="restart"/>
            <w:tcBorders>
              <w:top w:val="single" w:sz="12" w:space="0" w:color="000000" w:themeColor="text1"/>
              <w:left w:val="nil"/>
              <w:bottom w:val="nil"/>
              <w:right w:val="single" w:sz="12" w:space="0" w:color="000000" w:themeColor="text1"/>
            </w:tcBorders>
            <w:vAlign w:val="bottom"/>
          </w:tcPr>
          <w:p w14:paraId="7DA307EC" w14:textId="77777777" w:rsidR="00142372" w:rsidRPr="00EE4A21" w:rsidRDefault="00142372" w:rsidP="0019078C">
            <w:pPr>
              <w:spacing w:after="120"/>
              <w:jc w:val="both"/>
              <w:rPr>
                <w:rFonts w:asciiTheme="majorBidi" w:eastAsia="Times New Roman" w:hAnsiTheme="majorBidi" w:cstheme="majorBidi"/>
                <w:sz w:val="20"/>
                <w:szCs w:val="20"/>
              </w:rPr>
            </w:pPr>
          </w:p>
        </w:tc>
        <w:tc>
          <w:tcPr>
            <w:tcW w:w="1207" w:type="dxa"/>
            <w:vMerge w:val="restart"/>
            <w:tcBorders>
              <w:top w:val="single" w:sz="12" w:space="0" w:color="000000" w:themeColor="text1"/>
              <w:left w:val="single" w:sz="12" w:space="0" w:color="000000" w:themeColor="text1"/>
              <w:bottom w:val="nil"/>
              <w:right w:val="nil"/>
            </w:tcBorders>
            <w:vAlign w:val="bottom"/>
          </w:tcPr>
          <w:p w14:paraId="7273E9D5"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Mean Difference (I-J)</w:t>
            </w:r>
          </w:p>
        </w:tc>
        <w:tc>
          <w:tcPr>
            <w:tcW w:w="992" w:type="dxa"/>
            <w:vMerge w:val="restart"/>
            <w:tcBorders>
              <w:top w:val="single" w:sz="12" w:space="0" w:color="000000" w:themeColor="text1"/>
              <w:left w:val="nil"/>
              <w:bottom w:val="nil"/>
              <w:right w:val="nil"/>
            </w:tcBorders>
            <w:vAlign w:val="bottom"/>
          </w:tcPr>
          <w:p w14:paraId="63DE8F6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Std. Error</w:t>
            </w:r>
          </w:p>
        </w:tc>
        <w:tc>
          <w:tcPr>
            <w:tcW w:w="850" w:type="dxa"/>
            <w:vMerge w:val="restart"/>
            <w:tcBorders>
              <w:top w:val="single" w:sz="12" w:space="0" w:color="000000" w:themeColor="text1"/>
              <w:left w:val="nil"/>
              <w:bottom w:val="nil"/>
              <w:right w:val="nil"/>
            </w:tcBorders>
            <w:vAlign w:val="bottom"/>
          </w:tcPr>
          <w:p w14:paraId="6C2F77F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Sig.</w:t>
            </w:r>
            <w:r w:rsidRPr="00EE4A21">
              <w:rPr>
                <w:rFonts w:asciiTheme="majorBidi" w:eastAsia="Times New Roman" w:hAnsiTheme="majorBidi" w:cstheme="majorBidi"/>
                <w:sz w:val="20"/>
                <w:szCs w:val="20"/>
                <w:vertAlign w:val="superscript"/>
              </w:rPr>
              <w:t>b</w:t>
            </w:r>
          </w:p>
        </w:tc>
        <w:tc>
          <w:tcPr>
            <w:tcW w:w="2470" w:type="dxa"/>
            <w:gridSpan w:val="2"/>
            <w:tcBorders>
              <w:top w:val="single" w:sz="12" w:space="0" w:color="000000" w:themeColor="text1"/>
              <w:left w:val="nil"/>
              <w:bottom w:val="single" w:sz="12" w:space="0" w:color="000000" w:themeColor="text1"/>
              <w:right w:val="nil"/>
            </w:tcBorders>
            <w:vAlign w:val="bottom"/>
          </w:tcPr>
          <w:p w14:paraId="7419547B"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95% Confidence Interval for Difference</w:t>
            </w:r>
            <w:r w:rsidRPr="00EE4A21">
              <w:rPr>
                <w:rFonts w:asciiTheme="majorBidi" w:eastAsia="Times New Roman" w:hAnsiTheme="majorBidi" w:cstheme="majorBidi"/>
                <w:sz w:val="20"/>
                <w:szCs w:val="20"/>
                <w:vertAlign w:val="superscript"/>
              </w:rPr>
              <w:t>b</w:t>
            </w:r>
          </w:p>
        </w:tc>
      </w:tr>
      <w:tr w:rsidR="00142372" w:rsidRPr="00EE4A21" w14:paraId="45153456" w14:textId="77777777" w:rsidTr="00151932">
        <w:trPr>
          <w:trHeight w:val="199"/>
          <w:jc w:val="center"/>
        </w:trPr>
        <w:tc>
          <w:tcPr>
            <w:tcW w:w="0" w:type="auto"/>
            <w:vMerge/>
            <w:tcBorders>
              <w:top w:val="single" w:sz="12" w:space="0" w:color="000000" w:themeColor="text1"/>
              <w:left w:val="nil"/>
              <w:bottom w:val="single" w:sz="12" w:space="0" w:color="000000" w:themeColor="text1"/>
              <w:right w:val="nil"/>
            </w:tcBorders>
          </w:tcPr>
          <w:p w14:paraId="2398E576" w14:textId="77777777" w:rsidR="00142372" w:rsidRPr="00EE4A21" w:rsidRDefault="00142372" w:rsidP="0019078C">
            <w:pPr>
              <w:spacing w:after="120"/>
              <w:jc w:val="both"/>
              <w:rPr>
                <w:rFonts w:asciiTheme="majorBidi" w:hAnsiTheme="majorBidi" w:cstheme="majorBidi"/>
                <w:sz w:val="20"/>
                <w:szCs w:val="20"/>
              </w:rPr>
            </w:pPr>
          </w:p>
        </w:tc>
        <w:tc>
          <w:tcPr>
            <w:tcW w:w="1157" w:type="dxa"/>
            <w:vMerge/>
            <w:tcBorders>
              <w:top w:val="nil"/>
              <w:left w:val="nil"/>
              <w:bottom w:val="single" w:sz="12" w:space="0" w:color="000000" w:themeColor="text1"/>
              <w:right w:val="single" w:sz="12" w:space="0" w:color="000000" w:themeColor="text1"/>
            </w:tcBorders>
          </w:tcPr>
          <w:p w14:paraId="3BA79777" w14:textId="77777777" w:rsidR="00142372" w:rsidRPr="00EE4A21" w:rsidRDefault="00142372" w:rsidP="0019078C">
            <w:pPr>
              <w:spacing w:after="120"/>
              <w:jc w:val="both"/>
              <w:rPr>
                <w:rFonts w:asciiTheme="majorBidi" w:hAnsiTheme="majorBidi" w:cstheme="majorBidi"/>
                <w:sz w:val="20"/>
                <w:szCs w:val="20"/>
              </w:rPr>
            </w:pPr>
          </w:p>
        </w:tc>
        <w:tc>
          <w:tcPr>
            <w:tcW w:w="1207" w:type="dxa"/>
            <w:vMerge/>
            <w:tcBorders>
              <w:top w:val="nil"/>
              <w:left w:val="single" w:sz="12" w:space="0" w:color="000000" w:themeColor="text1"/>
              <w:bottom w:val="single" w:sz="12" w:space="0" w:color="000000" w:themeColor="text1"/>
              <w:right w:val="nil"/>
            </w:tcBorders>
          </w:tcPr>
          <w:p w14:paraId="276A8188" w14:textId="77777777" w:rsidR="00142372" w:rsidRPr="00EE4A21" w:rsidRDefault="00142372" w:rsidP="0019078C">
            <w:pPr>
              <w:spacing w:after="120"/>
              <w:jc w:val="both"/>
              <w:rPr>
                <w:rFonts w:asciiTheme="majorBidi" w:hAnsiTheme="majorBidi" w:cstheme="majorBidi"/>
                <w:sz w:val="20"/>
                <w:szCs w:val="20"/>
              </w:rPr>
            </w:pPr>
          </w:p>
        </w:tc>
        <w:tc>
          <w:tcPr>
            <w:tcW w:w="992" w:type="dxa"/>
            <w:vMerge/>
            <w:tcBorders>
              <w:top w:val="nil"/>
              <w:left w:val="nil"/>
              <w:bottom w:val="single" w:sz="12" w:space="0" w:color="000000" w:themeColor="text1"/>
              <w:right w:val="nil"/>
            </w:tcBorders>
          </w:tcPr>
          <w:p w14:paraId="3BF7F4F4" w14:textId="77777777" w:rsidR="00142372" w:rsidRPr="00EE4A21" w:rsidRDefault="00142372" w:rsidP="0019078C">
            <w:pPr>
              <w:spacing w:after="120"/>
              <w:jc w:val="both"/>
              <w:rPr>
                <w:rFonts w:asciiTheme="majorBidi" w:hAnsiTheme="majorBidi" w:cstheme="majorBidi"/>
                <w:sz w:val="20"/>
                <w:szCs w:val="20"/>
              </w:rPr>
            </w:pPr>
          </w:p>
        </w:tc>
        <w:tc>
          <w:tcPr>
            <w:tcW w:w="850" w:type="dxa"/>
            <w:vMerge/>
            <w:tcBorders>
              <w:top w:val="nil"/>
              <w:left w:val="nil"/>
              <w:bottom w:val="single" w:sz="12" w:space="0" w:color="000000" w:themeColor="text1"/>
              <w:right w:val="nil"/>
            </w:tcBorders>
          </w:tcPr>
          <w:p w14:paraId="327D1779" w14:textId="77777777" w:rsidR="00142372" w:rsidRPr="00EE4A21" w:rsidRDefault="00142372" w:rsidP="0019078C">
            <w:pPr>
              <w:spacing w:after="120"/>
              <w:jc w:val="both"/>
              <w:rPr>
                <w:rFonts w:asciiTheme="majorBidi" w:hAnsiTheme="majorBidi" w:cstheme="majorBidi"/>
                <w:sz w:val="20"/>
                <w:szCs w:val="20"/>
              </w:rPr>
            </w:pPr>
          </w:p>
        </w:tc>
        <w:tc>
          <w:tcPr>
            <w:tcW w:w="1134" w:type="dxa"/>
            <w:tcBorders>
              <w:top w:val="single" w:sz="12" w:space="0" w:color="000000" w:themeColor="text1"/>
              <w:left w:val="nil"/>
              <w:bottom w:val="single" w:sz="12" w:space="0" w:color="000000" w:themeColor="text1"/>
              <w:right w:val="nil"/>
            </w:tcBorders>
            <w:vAlign w:val="bottom"/>
          </w:tcPr>
          <w:p w14:paraId="03FA46D7"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Lower Bound</w:t>
            </w:r>
          </w:p>
        </w:tc>
        <w:tc>
          <w:tcPr>
            <w:tcW w:w="1336" w:type="dxa"/>
            <w:tcBorders>
              <w:top w:val="single" w:sz="12" w:space="0" w:color="000000" w:themeColor="text1"/>
              <w:left w:val="nil"/>
              <w:bottom w:val="single" w:sz="12" w:space="0" w:color="000000" w:themeColor="text1"/>
              <w:right w:val="nil"/>
            </w:tcBorders>
            <w:vAlign w:val="bottom"/>
          </w:tcPr>
          <w:p w14:paraId="337C5D54"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Upper Bound</w:t>
            </w:r>
          </w:p>
        </w:tc>
      </w:tr>
      <w:tr w:rsidR="00142372" w:rsidRPr="00EE4A21" w14:paraId="6808A1C5" w14:textId="77777777" w:rsidTr="00151932">
        <w:trPr>
          <w:jc w:val="center"/>
        </w:trPr>
        <w:tc>
          <w:tcPr>
            <w:tcW w:w="0" w:type="auto"/>
            <w:tcBorders>
              <w:top w:val="single" w:sz="12" w:space="0" w:color="000000" w:themeColor="text1"/>
              <w:left w:val="nil"/>
              <w:bottom w:val="nil"/>
              <w:right w:val="nil"/>
            </w:tcBorders>
          </w:tcPr>
          <w:p w14:paraId="5985926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EG1</w:t>
            </w:r>
          </w:p>
        </w:tc>
        <w:tc>
          <w:tcPr>
            <w:tcW w:w="1157" w:type="dxa"/>
            <w:tcBorders>
              <w:top w:val="single" w:sz="12" w:space="0" w:color="000000" w:themeColor="text1"/>
              <w:left w:val="nil"/>
              <w:bottom w:val="nil"/>
              <w:right w:val="single" w:sz="12" w:space="0" w:color="000000" w:themeColor="text1"/>
            </w:tcBorders>
          </w:tcPr>
          <w:p w14:paraId="744E0DA5"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EG2</w:t>
            </w:r>
          </w:p>
        </w:tc>
        <w:tc>
          <w:tcPr>
            <w:tcW w:w="1207" w:type="dxa"/>
            <w:tcBorders>
              <w:top w:val="single" w:sz="12" w:space="0" w:color="000000" w:themeColor="text1"/>
              <w:left w:val="single" w:sz="12" w:space="0" w:color="000000" w:themeColor="text1"/>
              <w:bottom w:val="nil"/>
              <w:right w:val="nil"/>
            </w:tcBorders>
            <w:vAlign w:val="center"/>
          </w:tcPr>
          <w:p w14:paraId="716E74CA"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-2.004</w:t>
            </w:r>
          </w:p>
        </w:tc>
        <w:tc>
          <w:tcPr>
            <w:tcW w:w="992" w:type="dxa"/>
            <w:tcBorders>
              <w:top w:val="single" w:sz="12" w:space="0" w:color="000000" w:themeColor="text1"/>
              <w:left w:val="nil"/>
              <w:bottom w:val="nil"/>
              <w:right w:val="nil"/>
            </w:tcBorders>
            <w:vAlign w:val="center"/>
          </w:tcPr>
          <w:p w14:paraId="35836158"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2.279</w:t>
            </w:r>
          </w:p>
        </w:tc>
        <w:tc>
          <w:tcPr>
            <w:tcW w:w="850" w:type="dxa"/>
            <w:tcBorders>
              <w:top w:val="single" w:sz="12" w:space="0" w:color="000000" w:themeColor="text1"/>
              <w:left w:val="nil"/>
              <w:bottom w:val="nil"/>
              <w:right w:val="nil"/>
            </w:tcBorders>
            <w:vAlign w:val="center"/>
          </w:tcPr>
          <w:p w14:paraId="0C3A3F78"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.383</w:t>
            </w:r>
          </w:p>
        </w:tc>
        <w:tc>
          <w:tcPr>
            <w:tcW w:w="1134" w:type="dxa"/>
            <w:tcBorders>
              <w:top w:val="single" w:sz="12" w:space="0" w:color="000000" w:themeColor="text1"/>
              <w:left w:val="nil"/>
              <w:bottom w:val="nil"/>
              <w:right w:val="nil"/>
            </w:tcBorders>
            <w:vAlign w:val="center"/>
          </w:tcPr>
          <w:p w14:paraId="31A1918C"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-6.565</w:t>
            </w:r>
          </w:p>
        </w:tc>
        <w:tc>
          <w:tcPr>
            <w:tcW w:w="1336" w:type="dxa"/>
            <w:tcBorders>
              <w:top w:val="single" w:sz="12" w:space="0" w:color="000000" w:themeColor="text1"/>
              <w:left w:val="nil"/>
              <w:bottom w:val="nil"/>
              <w:right w:val="nil"/>
            </w:tcBorders>
            <w:vAlign w:val="center"/>
          </w:tcPr>
          <w:p w14:paraId="1E596F1E"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2.558</w:t>
            </w:r>
          </w:p>
        </w:tc>
      </w:tr>
      <w:tr w:rsidR="00142372" w:rsidRPr="00EE4A21" w14:paraId="2278B28C" w14:textId="77777777" w:rsidTr="00151932">
        <w:trPr>
          <w:jc w:val="center"/>
        </w:trPr>
        <w:tc>
          <w:tcPr>
            <w:tcW w:w="0" w:type="auto"/>
            <w:tcBorders>
              <w:top w:val="nil"/>
              <w:left w:val="nil"/>
              <w:bottom w:val="nil"/>
              <w:right w:val="nil"/>
            </w:tcBorders>
          </w:tcPr>
          <w:p w14:paraId="2E32F489" w14:textId="77777777" w:rsidR="00142372" w:rsidRPr="00EE4A21" w:rsidRDefault="00142372" w:rsidP="0019078C">
            <w:pPr>
              <w:spacing w:after="120"/>
              <w:jc w:val="both"/>
              <w:rPr>
                <w:rFonts w:asciiTheme="majorBidi" w:hAnsiTheme="majorBidi" w:cstheme="majorBidi"/>
                <w:sz w:val="20"/>
                <w:szCs w:val="20"/>
              </w:rPr>
            </w:pPr>
          </w:p>
        </w:tc>
        <w:tc>
          <w:tcPr>
            <w:tcW w:w="1157" w:type="dxa"/>
            <w:tcBorders>
              <w:top w:val="nil"/>
              <w:left w:val="nil"/>
              <w:bottom w:val="nil"/>
              <w:right w:val="single" w:sz="12" w:space="0" w:color="000000" w:themeColor="text1"/>
            </w:tcBorders>
          </w:tcPr>
          <w:p w14:paraId="73DBE9C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ACG</w:t>
            </w:r>
          </w:p>
        </w:tc>
        <w:tc>
          <w:tcPr>
            <w:tcW w:w="1207" w:type="dxa"/>
            <w:tcBorders>
              <w:top w:val="nil"/>
              <w:left w:val="single" w:sz="12" w:space="0" w:color="000000" w:themeColor="text1"/>
              <w:bottom w:val="nil"/>
              <w:right w:val="nil"/>
            </w:tcBorders>
            <w:vAlign w:val="center"/>
          </w:tcPr>
          <w:p w14:paraId="56A5935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8.891</w:t>
            </w:r>
            <w:r w:rsidRPr="00EE4A21">
              <w:rPr>
                <w:rFonts w:asciiTheme="majorBidi" w:eastAsia="Times New Roman" w:hAnsiTheme="majorBidi" w:cstheme="majorBidi"/>
                <w:sz w:val="20"/>
                <w:szCs w:val="20"/>
                <w:vertAlign w:val="superscript"/>
              </w:rPr>
              <w:t>*</w:t>
            </w:r>
          </w:p>
        </w:tc>
        <w:tc>
          <w:tcPr>
            <w:tcW w:w="992" w:type="dxa"/>
            <w:tcBorders>
              <w:top w:val="nil"/>
              <w:left w:val="nil"/>
              <w:bottom w:val="nil"/>
              <w:right w:val="nil"/>
            </w:tcBorders>
            <w:vAlign w:val="center"/>
          </w:tcPr>
          <w:p w14:paraId="2911AB00"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2.532</w:t>
            </w:r>
          </w:p>
        </w:tc>
        <w:tc>
          <w:tcPr>
            <w:tcW w:w="850" w:type="dxa"/>
            <w:tcBorders>
              <w:top w:val="nil"/>
              <w:left w:val="nil"/>
              <w:bottom w:val="nil"/>
              <w:right w:val="nil"/>
            </w:tcBorders>
            <w:vAlign w:val="center"/>
          </w:tcPr>
          <w:p w14:paraId="25D9DC4B"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.001</w:t>
            </w:r>
          </w:p>
        </w:tc>
        <w:tc>
          <w:tcPr>
            <w:tcW w:w="1134" w:type="dxa"/>
            <w:tcBorders>
              <w:top w:val="nil"/>
              <w:left w:val="nil"/>
              <w:bottom w:val="nil"/>
              <w:right w:val="nil"/>
            </w:tcBorders>
            <w:vAlign w:val="center"/>
          </w:tcPr>
          <w:p w14:paraId="31E4F30D"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3.823</w:t>
            </w:r>
          </w:p>
        </w:tc>
        <w:tc>
          <w:tcPr>
            <w:tcW w:w="1336" w:type="dxa"/>
            <w:tcBorders>
              <w:top w:val="nil"/>
              <w:left w:val="nil"/>
              <w:bottom w:val="nil"/>
              <w:right w:val="nil"/>
            </w:tcBorders>
            <w:vAlign w:val="center"/>
          </w:tcPr>
          <w:p w14:paraId="374D1057"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13.959</w:t>
            </w:r>
          </w:p>
        </w:tc>
      </w:tr>
      <w:tr w:rsidR="00142372" w:rsidRPr="00EE4A21" w14:paraId="7FA5E96A" w14:textId="77777777" w:rsidTr="00151932">
        <w:trPr>
          <w:jc w:val="center"/>
        </w:trPr>
        <w:tc>
          <w:tcPr>
            <w:tcW w:w="0" w:type="auto"/>
            <w:tcBorders>
              <w:top w:val="nil"/>
              <w:left w:val="nil"/>
              <w:bottom w:val="single" w:sz="12" w:space="0" w:color="000000" w:themeColor="text1"/>
              <w:right w:val="nil"/>
            </w:tcBorders>
          </w:tcPr>
          <w:p w14:paraId="0B666FA4" w14:textId="77777777" w:rsidR="00142372" w:rsidRPr="00EE4A21" w:rsidRDefault="00142372" w:rsidP="0019078C">
            <w:pPr>
              <w:spacing w:after="120"/>
              <w:jc w:val="both"/>
              <w:rPr>
                <w:rFonts w:asciiTheme="majorBidi" w:hAnsiTheme="majorBidi" w:cstheme="majorBidi"/>
                <w:sz w:val="20"/>
                <w:szCs w:val="20"/>
              </w:rPr>
            </w:pPr>
          </w:p>
        </w:tc>
        <w:tc>
          <w:tcPr>
            <w:tcW w:w="1157" w:type="dxa"/>
            <w:tcBorders>
              <w:top w:val="nil"/>
              <w:left w:val="nil"/>
              <w:bottom w:val="single" w:sz="12" w:space="0" w:color="000000" w:themeColor="text1"/>
              <w:right w:val="single" w:sz="12" w:space="0" w:color="000000" w:themeColor="text1"/>
            </w:tcBorders>
          </w:tcPr>
          <w:p w14:paraId="73D5A4B1"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PCG</w:t>
            </w:r>
          </w:p>
        </w:tc>
        <w:tc>
          <w:tcPr>
            <w:tcW w:w="1207" w:type="dxa"/>
            <w:tcBorders>
              <w:top w:val="nil"/>
              <w:left w:val="single" w:sz="12" w:space="0" w:color="000000" w:themeColor="text1"/>
              <w:bottom w:val="single" w:sz="12" w:space="0" w:color="000000" w:themeColor="text1"/>
              <w:right w:val="nil"/>
            </w:tcBorders>
            <w:vAlign w:val="center"/>
          </w:tcPr>
          <w:p w14:paraId="661C0A64"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10.536</w:t>
            </w:r>
            <w:r w:rsidRPr="00EE4A21">
              <w:rPr>
                <w:rFonts w:asciiTheme="majorBidi" w:eastAsia="Times New Roman" w:hAnsiTheme="majorBidi" w:cstheme="majorBidi"/>
                <w:sz w:val="20"/>
                <w:szCs w:val="20"/>
                <w:vertAlign w:val="superscript"/>
              </w:rPr>
              <w:t>*</w:t>
            </w:r>
          </w:p>
        </w:tc>
        <w:tc>
          <w:tcPr>
            <w:tcW w:w="992" w:type="dxa"/>
            <w:tcBorders>
              <w:top w:val="nil"/>
              <w:left w:val="nil"/>
              <w:bottom w:val="single" w:sz="12" w:space="0" w:color="000000" w:themeColor="text1"/>
              <w:right w:val="nil"/>
            </w:tcBorders>
            <w:vAlign w:val="center"/>
          </w:tcPr>
          <w:p w14:paraId="5CC79457"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2.368</w:t>
            </w:r>
          </w:p>
        </w:tc>
        <w:tc>
          <w:tcPr>
            <w:tcW w:w="850" w:type="dxa"/>
            <w:tcBorders>
              <w:top w:val="nil"/>
              <w:left w:val="nil"/>
              <w:bottom w:val="single" w:sz="12" w:space="0" w:color="000000" w:themeColor="text1"/>
              <w:right w:val="nil"/>
            </w:tcBorders>
            <w:vAlign w:val="center"/>
          </w:tcPr>
          <w:p w14:paraId="6F92AAAA"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34" w:type="dxa"/>
            <w:tcBorders>
              <w:top w:val="nil"/>
              <w:left w:val="nil"/>
              <w:bottom w:val="single" w:sz="12" w:space="0" w:color="000000" w:themeColor="text1"/>
              <w:right w:val="nil"/>
            </w:tcBorders>
            <w:vAlign w:val="center"/>
          </w:tcPr>
          <w:p w14:paraId="68AA2C86"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5.796</w:t>
            </w:r>
          </w:p>
        </w:tc>
        <w:tc>
          <w:tcPr>
            <w:tcW w:w="1336" w:type="dxa"/>
            <w:tcBorders>
              <w:top w:val="nil"/>
              <w:left w:val="nil"/>
              <w:bottom w:val="single" w:sz="12" w:space="0" w:color="000000" w:themeColor="text1"/>
              <w:right w:val="nil"/>
            </w:tcBorders>
            <w:vAlign w:val="center"/>
          </w:tcPr>
          <w:p w14:paraId="637AF8C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15.276</w:t>
            </w:r>
          </w:p>
        </w:tc>
      </w:tr>
      <w:tr w:rsidR="00142372" w:rsidRPr="00EE4A21" w14:paraId="691231F8" w14:textId="77777777" w:rsidTr="00151932">
        <w:trPr>
          <w:jc w:val="center"/>
        </w:trPr>
        <w:tc>
          <w:tcPr>
            <w:tcW w:w="0" w:type="auto"/>
            <w:tcBorders>
              <w:top w:val="single" w:sz="12" w:space="0" w:color="000000" w:themeColor="text1"/>
              <w:left w:val="nil"/>
              <w:bottom w:val="nil"/>
              <w:right w:val="nil"/>
            </w:tcBorders>
          </w:tcPr>
          <w:p w14:paraId="1AF8778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EG2</w:t>
            </w:r>
          </w:p>
        </w:tc>
        <w:tc>
          <w:tcPr>
            <w:tcW w:w="1157" w:type="dxa"/>
            <w:tcBorders>
              <w:top w:val="single" w:sz="12" w:space="0" w:color="000000" w:themeColor="text1"/>
              <w:left w:val="nil"/>
              <w:bottom w:val="nil"/>
              <w:right w:val="single" w:sz="12" w:space="0" w:color="000000" w:themeColor="text1"/>
            </w:tcBorders>
          </w:tcPr>
          <w:p w14:paraId="490E3ECC"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ACG</w:t>
            </w:r>
          </w:p>
        </w:tc>
        <w:tc>
          <w:tcPr>
            <w:tcW w:w="1207" w:type="dxa"/>
            <w:tcBorders>
              <w:top w:val="single" w:sz="12" w:space="0" w:color="000000" w:themeColor="text1"/>
              <w:left w:val="single" w:sz="12" w:space="0" w:color="000000" w:themeColor="text1"/>
              <w:bottom w:val="nil"/>
              <w:right w:val="nil"/>
            </w:tcBorders>
            <w:vAlign w:val="center"/>
          </w:tcPr>
          <w:p w14:paraId="428C004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10.894</w:t>
            </w:r>
            <w:r w:rsidRPr="00EE4A21">
              <w:rPr>
                <w:rFonts w:asciiTheme="majorBidi" w:eastAsia="Times New Roman" w:hAnsiTheme="majorBidi" w:cstheme="majorBidi"/>
                <w:sz w:val="20"/>
                <w:szCs w:val="20"/>
                <w:vertAlign w:val="superscript"/>
              </w:rPr>
              <w:t>*</w:t>
            </w:r>
          </w:p>
        </w:tc>
        <w:tc>
          <w:tcPr>
            <w:tcW w:w="992" w:type="dxa"/>
            <w:tcBorders>
              <w:top w:val="single" w:sz="12" w:space="0" w:color="000000" w:themeColor="text1"/>
              <w:left w:val="nil"/>
              <w:bottom w:val="nil"/>
              <w:right w:val="nil"/>
            </w:tcBorders>
            <w:vAlign w:val="center"/>
          </w:tcPr>
          <w:p w14:paraId="0FF2D040"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2.526</w:t>
            </w:r>
          </w:p>
        </w:tc>
        <w:tc>
          <w:tcPr>
            <w:tcW w:w="850" w:type="dxa"/>
            <w:tcBorders>
              <w:top w:val="single" w:sz="12" w:space="0" w:color="000000" w:themeColor="text1"/>
              <w:left w:val="nil"/>
              <w:bottom w:val="nil"/>
              <w:right w:val="nil"/>
            </w:tcBorders>
            <w:vAlign w:val="center"/>
          </w:tcPr>
          <w:p w14:paraId="712BECC8"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34" w:type="dxa"/>
            <w:tcBorders>
              <w:top w:val="single" w:sz="12" w:space="0" w:color="000000" w:themeColor="text1"/>
              <w:left w:val="nil"/>
              <w:bottom w:val="nil"/>
              <w:right w:val="nil"/>
            </w:tcBorders>
            <w:vAlign w:val="center"/>
          </w:tcPr>
          <w:p w14:paraId="3D27A41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5.838</w:t>
            </w:r>
          </w:p>
        </w:tc>
        <w:tc>
          <w:tcPr>
            <w:tcW w:w="1336" w:type="dxa"/>
            <w:tcBorders>
              <w:top w:val="single" w:sz="12" w:space="0" w:color="000000" w:themeColor="text1"/>
              <w:left w:val="nil"/>
              <w:bottom w:val="nil"/>
              <w:right w:val="nil"/>
            </w:tcBorders>
            <w:vAlign w:val="center"/>
          </w:tcPr>
          <w:p w14:paraId="34CE4AA3"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15.951</w:t>
            </w:r>
          </w:p>
        </w:tc>
      </w:tr>
      <w:tr w:rsidR="00142372" w:rsidRPr="00EE4A21" w14:paraId="2027382C" w14:textId="77777777" w:rsidTr="00151932">
        <w:trPr>
          <w:jc w:val="center"/>
        </w:trPr>
        <w:tc>
          <w:tcPr>
            <w:tcW w:w="0" w:type="auto"/>
            <w:tcBorders>
              <w:top w:val="nil"/>
              <w:left w:val="nil"/>
              <w:bottom w:val="single" w:sz="12" w:space="0" w:color="000000" w:themeColor="text1"/>
              <w:right w:val="nil"/>
            </w:tcBorders>
          </w:tcPr>
          <w:p w14:paraId="7A13E05D" w14:textId="77777777" w:rsidR="00142372" w:rsidRPr="00EE4A21" w:rsidRDefault="00142372" w:rsidP="0019078C">
            <w:pPr>
              <w:spacing w:after="120"/>
              <w:jc w:val="both"/>
              <w:rPr>
                <w:rFonts w:asciiTheme="majorBidi" w:hAnsiTheme="majorBidi" w:cstheme="majorBidi"/>
                <w:sz w:val="20"/>
                <w:szCs w:val="20"/>
              </w:rPr>
            </w:pPr>
          </w:p>
        </w:tc>
        <w:tc>
          <w:tcPr>
            <w:tcW w:w="1157" w:type="dxa"/>
            <w:tcBorders>
              <w:top w:val="nil"/>
              <w:left w:val="nil"/>
              <w:bottom w:val="single" w:sz="12" w:space="0" w:color="000000" w:themeColor="text1"/>
              <w:right w:val="single" w:sz="12" w:space="0" w:color="000000" w:themeColor="text1"/>
            </w:tcBorders>
          </w:tcPr>
          <w:p w14:paraId="679357DA"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PCG</w:t>
            </w:r>
          </w:p>
        </w:tc>
        <w:tc>
          <w:tcPr>
            <w:tcW w:w="1207" w:type="dxa"/>
            <w:tcBorders>
              <w:top w:val="nil"/>
              <w:left w:val="single" w:sz="12" w:space="0" w:color="000000" w:themeColor="text1"/>
              <w:bottom w:val="single" w:sz="12" w:space="0" w:color="000000" w:themeColor="text1"/>
              <w:right w:val="nil"/>
            </w:tcBorders>
            <w:vAlign w:val="center"/>
          </w:tcPr>
          <w:p w14:paraId="1A9E410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12.540</w:t>
            </w:r>
            <w:r w:rsidRPr="00EE4A21">
              <w:rPr>
                <w:rFonts w:asciiTheme="majorBidi" w:eastAsia="Times New Roman" w:hAnsiTheme="majorBidi" w:cstheme="majorBidi"/>
                <w:sz w:val="20"/>
                <w:szCs w:val="20"/>
                <w:vertAlign w:val="superscript"/>
              </w:rPr>
              <w:t>*</w:t>
            </w:r>
          </w:p>
        </w:tc>
        <w:tc>
          <w:tcPr>
            <w:tcW w:w="992" w:type="dxa"/>
            <w:tcBorders>
              <w:top w:val="nil"/>
              <w:left w:val="nil"/>
              <w:bottom w:val="single" w:sz="12" w:space="0" w:color="000000" w:themeColor="text1"/>
              <w:right w:val="nil"/>
            </w:tcBorders>
            <w:vAlign w:val="center"/>
          </w:tcPr>
          <w:p w14:paraId="4430920A"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2.374</w:t>
            </w:r>
          </w:p>
        </w:tc>
        <w:tc>
          <w:tcPr>
            <w:tcW w:w="850" w:type="dxa"/>
            <w:tcBorders>
              <w:top w:val="nil"/>
              <w:left w:val="nil"/>
              <w:bottom w:val="single" w:sz="12" w:space="0" w:color="000000" w:themeColor="text1"/>
              <w:right w:val="nil"/>
            </w:tcBorders>
            <w:vAlign w:val="center"/>
          </w:tcPr>
          <w:p w14:paraId="165F58D6"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.000</w:t>
            </w:r>
          </w:p>
        </w:tc>
        <w:tc>
          <w:tcPr>
            <w:tcW w:w="1134" w:type="dxa"/>
            <w:tcBorders>
              <w:top w:val="nil"/>
              <w:left w:val="nil"/>
              <w:bottom w:val="single" w:sz="12" w:space="0" w:color="000000" w:themeColor="text1"/>
              <w:right w:val="nil"/>
            </w:tcBorders>
            <w:vAlign w:val="center"/>
          </w:tcPr>
          <w:p w14:paraId="62DFBCFE"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7.788</w:t>
            </w:r>
          </w:p>
        </w:tc>
        <w:tc>
          <w:tcPr>
            <w:tcW w:w="1336" w:type="dxa"/>
            <w:tcBorders>
              <w:top w:val="nil"/>
              <w:left w:val="nil"/>
              <w:bottom w:val="single" w:sz="12" w:space="0" w:color="000000" w:themeColor="text1"/>
              <w:right w:val="nil"/>
            </w:tcBorders>
            <w:vAlign w:val="center"/>
          </w:tcPr>
          <w:p w14:paraId="3C623F67"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17.292</w:t>
            </w:r>
          </w:p>
        </w:tc>
      </w:tr>
      <w:tr w:rsidR="00142372" w:rsidRPr="00EE4A21" w14:paraId="36AA03CA" w14:textId="77777777" w:rsidTr="00151932">
        <w:trPr>
          <w:jc w:val="center"/>
        </w:trPr>
        <w:tc>
          <w:tcPr>
            <w:tcW w:w="0" w:type="auto"/>
            <w:tcBorders>
              <w:top w:val="single" w:sz="12" w:space="0" w:color="000000" w:themeColor="text1"/>
              <w:left w:val="nil"/>
              <w:bottom w:val="single" w:sz="12" w:space="0" w:color="000000" w:themeColor="text1"/>
              <w:right w:val="nil"/>
            </w:tcBorders>
          </w:tcPr>
          <w:p w14:paraId="1BA2BD17"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ACG</w:t>
            </w:r>
          </w:p>
        </w:tc>
        <w:tc>
          <w:tcPr>
            <w:tcW w:w="1157" w:type="dxa"/>
            <w:tcBorders>
              <w:top w:val="single" w:sz="12" w:space="0" w:color="000000" w:themeColor="text1"/>
              <w:left w:val="nil"/>
              <w:bottom w:val="single" w:sz="12" w:space="0" w:color="000000" w:themeColor="text1"/>
              <w:right w:val="single" w:sz="12" w:space="0" w:color="000000" w:themeColor="text1"/>
            </w:tcBorders>
          </w:tcPr>
          <w:p w14:paraId="4D3CCB4F" w14:textId="77777777" w:rsidR="00142372" w:rsidRPr="00EE4A21" w:rsidRDefault="00142372" w:rsidP="0019078C">
            <w:pPr>
              <w:spacing w:after="120"/>
              <w:jc w:val="both"/>
              <w:rPr>
                <w:rFonts w:asciiTheme="majorBidi" w:hAnsiTheme="majorBidi" w:cstheme="majorBidi"/>
                <w:sz w:val="20"/>
                <w:szCs w:val="20"/>
              </w:rPr>
            </w:pPr>
            <w:r w:rsidRPr="00EE4A21">
              <w:rPr>
                <w:rFonts w:asciiTheme="majorBidi" w:hAnsiTheme="majorBidi" w:cstheme="majorBidi"/>
                <w:sz w:val="20"/>
                <w:szCs w:val="20"/>
              </w:rPr>
              <w:t>PCG</w:t>
            </w:r>
          </w:p>
        </w:tc>
        <w:tc>
          <w:tcPr>
            <w:tcW w:w="1207" w:type="dxa"/>
            <w:tcBorders>
              <w:top w:val="single" w:sz="12" w:space="0" w:color="000000" w:themeColor="text1"/>
              <w:left w:val="single" w:sz="12" w:space="0" w:color="000000" w:themeColor="text1"/>
              <w:bottom w:val="single" w:sz="12" w:space="0" w:color="000000" w:themeColor="text1"/>
              <w:right w:val="nil"/>
            </w:tcBorders>
            <w:vAlign w:val="center"/>
          </w:tcPr>
          <w:p w14:paraId="3050792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1.645</w:t>
            </w:r>
          </w:p>
        </w:tc>
        <w:tc>
          <w:tcPr>
            <w:tcW w:w="992" w:type="dxa"/>
            <w:tcBorders>
              <w:top w:val="single" w:sz="12" w:space="0" w:color="000000" w:themeColor="text1"/>
              <w:left w:val="nil"/>
              <w:bottom w:val="single" w:sz="12" w:space="0" w:color="000000" w:themeColor="text1"/>
              <w:right w:val="nil"/>
            </w:tcBorders>
            <w:vAlign w:val="center"/>
          </w:tcPr>
          <w:p w14:paraId="1A43C241"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2.407</w:t>
            </w:r>
          </w:p>
        </w:tc>
        <w:tc>
          <w:tcPr>
            <w:tcW w:w="850" w:type="dxa"/>
            <w:tcBorders>
              <w:top w:val="single" w:sz="12" w:space="0" w:color="000000" w:themeColor="text1"/>
              <w:left w:val="nil"/>
              <w:bottom w:val="single" w:sz="12" w:space="0" w:color="000000" w:themeColor="text1"/>
              <w:right w:val="nil"/>
            </w:tcBorders>
            <w:vAlign w:val="center"/>
          </w:tcPr>
          <w:p w14:paraId="347FF43B"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.497</w:t>
            </w:r>
          </w:p>
        </w:tc>
        <w:tc>
          <w:tcPr>
            <w:tcW w:w="1134" w:type="dxa"/>
            <w:tcBorders>
              <w:top w:val="single" w:sz="12" w:space="0" w:color="000000" w:themeColor="text1"/>
              <w:left w:val="nil"/>
              <w:bottom w:val="single" w:sz="12" w:space="0" w:color="000000" w:themeColor="text1"/>
              <w:right w:val="nil"/>
            </w:tcBorders>
            <w:vAlign w:val="center"/>
          </w:tcPr>
          <w:p w14:paraId="2BC95340"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-3.172</w:t>
            </w:r>
          </w:p>
        </w:tc>
        <w:tc>
          <w:tcPr>
            <w:tcW w:w="1336" w:type="dxa"/>
            <w:tcBorders>
              <w:top w:val="single" w:sz="12" w:space="0" w:color="000000" w:themeColor="text1"/>
              <w:left w:val="nil"/>
              <w:bottom w:val="single" w:sz="12" w:space="0" w:color="000000" w:themeColor="text1"/>
              <w:right w:val="nil"/>
            </w:tcBorders>
            <w:vAlign w:val="center"/>
          </w:tcPr>
          <w:p w14:paraId="658B9397" w14:textId="77777777" w:rsidR="00142372" w:rsidRPr="00EE4A21" w:rsidRDefault="00142372" w:rsidP="0019078C">
            <w:pPr>
              <w:spacing w:after="120"/>
              <w:jc w:val="both"/>
              <w:rPr>
                <w:rFonts w:asciiTheme="majorBidi" w:eastAsia="Times New Roman" w:hAnsiTheme="majorBidi" w:cstheme="majorBidi"/>
                <w:sz w:val="20"/>
                <w:szCs w:val="20"/>
              </w:rPr>
            </w:pPr>
            <w:r w:rsidRPr="00EE4A21">
              <w:rPr>
                <w:rFonts w:asciiTheme="majorBidi" w:eastAsia="Times New Roman" w:hAnsiTheme="majorBidi" w:cstheme="majorBidi"/>
                <w:sz w:val="20"/>
                <w:szCs w:val="20"/>
              </w:rPr>
              <w:t>6.463</w:t>
            </w:r>
          </w:p>
        </w:tc>
      </w:tr>
    </w:tbl>
    <w:p w14:paraId="3360207E" w14:textId="77777777" w:rsidR="00142372" w:rsidRPr="001F2624" w:rsidRDefault="00142372" w:rsidP="0019078C">
      <w:pPr>
        <w:spacing w:after="120" w:line="240" w:lineRule="auto"/>
        <w:jc w:val="both"/>
        <w:rPr>
          <w:rFonts w:asciiTheme="majorBidi" w:hAnsiTheme="majorBidi" w:cstheme="majorBidi"/>
        </w:rPr>
      </w:pPr>
    </w:p>
    <w:p w14:paraId="09CB5FE3"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Running ANCOVA on FCE listening section results as the transfer test was interesting as well. Although, as seen in Table 1, all groups experienced an increased mean score on transfer test, no significant effect of group was observed on L.C. performance of participants on FCE transfer test after controlling for the effect of FCE pretest score as covariate </w:t>
      </w:r>
      <w:r w:rsidR="009B433F" w:rsidRPr="001F2624">
        <w:rPr>
          <w:rFonts w:asciiTheme="majorBidi" w:hAnsiTheme="majorBidi" w:cstheme="majorBidi"/>
        </w:rPr>
        <w:t>F (</w:t>
      </w:r>
      <w:r w:rsidRPr="001F2624">
        <w:rPr>
          <w:rFonts w:asciiTheme="majorBidi" w:hAnsiTheme="majorBidi" w:cstheme="majorBidi"/>
        </w:rPr>
        <w:t>3, 58) = 1.8, ρ = .161, ƞ</w:t>
      </w:r>
      <w:r w:rsidRPr="003973ED">
        <w:rPr>
          <w:rFonts w:asciiTheme="majorBidi" w:hAnsiTheme="majorBidi" w:cstheme="majorBidi"/>
        </w:rPr>
        <w:t>p2</w:t>
      </w:r>
      <w:r w:rsidRPr="001F2624">
        <w:rPr>
          <w:rFonts w:asciiTheme="majorBidi" w:hAnsiTheme="majorBidi" w:cstheme="majorBidi"/>
        </w:rPr>
        <w:t xml:space="preserve"> = .084. Though group proved to have an insignificant effect on L.C. performance on a transfer test, based on information obtained from parameters estimates and post hoc test, L.C. performance of participants in EG1 significantly improved on transfer test compared to participants of ACG (ρ = .038) and those of PCG (ρ = .045, ƞ</w:t>
      </w:r>
      <w:r w:rsidRPr="003973ED">
        <w:rPr>
          <w:rFonts w:asciiTheme="majorBidi" w:hAnsiTheme="majorBidi" w:cstheme="majorBidi"/>
        </w:rPr>
        <w:t>p2</w:t>
      </w:r>
      <w:r w:rsidRPr="001F2624">
        <w:rPr>
          <w:rFonts w:asciiTheme="majorBidi" w:hAnsiTheme="majorBidi" w:cstheme="majorBidi"/>
        </w:rPr>
        <w:t xml:space="preserve"> = .063).</w:t>
      </w:r>
      <w:r w:rsidR="009B433F">
        <w:rPr>
          <w:rFonts w:asciiTheme="majorBidi" w:hAnsiTheme="majorBidi" w:cstheme="majorBidi"/>
        </w:rPr>
        <w:t xml:space="preserve"> </w:t>
      </w:r>
      <w:r w:rsidRPr="001F2624">
        <w:rPr>
          <w:rFonts w:asciiTheme="majorBidi" w:hAnsiTheme="majorBidi" w:cstheme="majorBidi"/>
        </w:rPr>
        <w:t xml:space="preserve">Such </w:t>
      </w:r>
      <w:r w:rsidR="009B433F">
        <w:rPr>
          <w:rFonts w:asciiTheme="majorBidi" w:hAnsiTheme="majorBidi" w:cstheme="majorBidi"/>
        </w:rPr>
        <w:t xml:space="preserve">a </w:t>
      </w:r>
      <w:r w:rsidRPr="001F2624">
        <w:rPr>
          <w:rFonts w:asciiTheme="majorBidi" w:hAnsiTheme="majorBidi" w:cstheme="majorBidi"/>
        </w:rPr>
        <w:t>significant improvement was not observed in case of other groups.</w:t>
      </w:r>
    </w:p>
    <w:p w14:paraId="5A2A4056" w14:textId="77777777" w:rsidR="00142372" w:rsidRPr="00151932" w:rsidRDefault="00151932" w:rsidP="00151932">
      <w:pPr>
        <w:spacing w:after="120" w:line="240" w:lineRule="auto"/>
        <w:jc w:val="both"/>
        <w:rPr>
          <w:rFonts w:asciiTheme="majorBidi" w:hAnsiTheme="majorBidi" w:cstheme="majorBidi"/>
          <w:b/>
          <w:bCs/>
        </w:rPr>
      </w:pPr>
      <w:r w:rsidRPr="009B433F">
        <w:rPr>
          <w:rFonts w:asciiTheme="majorBidi" w:hAnsiTheme="majorBidi" w:cstheme="majorBidi"/>
          <w:b/>
          <w:bCs/>
        </w:rPr>
        <w:t>5.</w:t>
      </w:r>
      <w:r w:rsidR="009B433F" w:rsidRPr="009B433F">
        <w:rPr>
          <w:rFonts w:asciiTheme="majorBidi" w:hAnsiTheme="majorBidi" w:cstheme="majorBidi"/>
          <w:b/>
          <w:bCs/>
        </w:rPr>
        <w:t xml:space="preserve"> </w:t>
      </w:r>
      <w:r w:rsidR="00142372" w:rsidRPr="009B433F">
        <w:rPr>
          <w:rFonts w:asciiTheme="majorBidi" w:hAnsiTheme="majorBidi" w:cstheme="majorBidi"/>
          <w:b/>
          <w:bCs/>
        </w:rPr>
        <w:t>Discussion</w:t>
      </w:r>
    </w:p>
    <w:p w14:paraId="21F2F7EA"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This study aimed to investigate the significant contribution of two</w:t>
      </w:r>
      <w:r w:rsidR="00103F4B" w:rsidRPr="001F2624">
        <w:rPr>
          <w:rFonts w:asciiTheme="majorBidi" w:hAnsiTheme="majorBidi" w:cstheme="majorBidi"/>
        </w:rPr>
        <w:t xml:space="preserve"> task-based</w:t>
      </w:r>
      <w:r w:rsidRPr="001F2624">
        <w:rPr>
          <w:rFonts w:asciiTheme="majorBidi" w:hAnsiTheme="majorBidi" w:cstheme="majorBidi"/>
        </w:rPr>
        <w:t xml:space="preserve"> m</w:t>
      </w:r>
      <w:r w:rsidR="00103F4B" w:rsidRPr="001F2624">
        <w:rPr>
          <w:rFonts w:asciiTheme="majorBidi" w:hAnsiTheme="majorBidi" w:cstheme="majorBidi"/>
        </w:rPr>
        <w:t xml:space="preserve">odels of metacognitive </w:t>
      </w:r>
      <w:r w:rsidRPr="001F2624">
        <w:rPr>
          <w:rFonts w:asciiTheme="majorBidi" w:hAnsiTheme="majorBidi" w:cstheme="majorBidi"/>
        </w:rPr>
        <w:t>ins</w:t>
      </w:r>
      <w:r w:rsidR="00103F4B" w:rsidRPr="001F2624">
        <w:rPr>
          <w:rFonts w:asciiTheme="majorBidi" w:hAnsiTheme="majorBidi" w:cstheme="majorBidi"/>
        </w:rPr>
        <w:t xml:space="preserve">truction (IELT and MPC) </w:t>
      </w:r>
      <w:r w:rsidRPr="001F2624">
        <w:rPr>
          <w:rFonts w:asciiTheme="majorBidi" w:hAnsiTheme="majorBidi" w:cstheme="majorBidi"/>
        </w:rPr>
        <w:t xml:space="preserve">on self-regulation in L.C. and L.C. performance of B1 level Iranian </w:t>
      </w:r>
      <w:r w:rsidR="00103F4B" w:rsidRPr="001F2624">
        <w:rPr>
          <w:rFonts w:asciiTheme="majorBidi" w:hAnsiTheme="majorBidi" w:cstheme="majorBidi"/>
        </w:rPr>
        <w:t>EFL learners. The results of</w:t>
      </w:r>
      <w:r w:rsidRPr="001F2624">
        <w:rPr>
          <w:rFonts w:asciiTheme="majorBidi" w:hAnsiTheme="majorBidi" w:cstheme="majorBidi"/>
        </w:rPr>
        <w:t xml:space="preserve"> ANCOVA, run to answer the research questions, indicated that compared to both control grou</w:t>
      </w:r>
      <w:r w:rsidR="00103F4B" w:rsidRPr="001F2624">
        <w:rPr>
          <w:rFonts w:asciiTheme="majorBidi" w:hAnsiTheme="majorBidi" w:cstheme="majorBidi"/>
        </w:rPr>
        <w:t>ps, both models</w:t>
      </w:r>
      <w:r w:rsidRPr="001F2624">
        <w:rPr>
          <w:rFonts w:asciiTheme="majorBidi" w:hAnsiTheme="majorBidi" w:cstheme="majorBidi"/>
        </w:rPr>
        <w:t xml:space="preserve"> significantly improved Iranian EFL learners’ self-regulation in L.C. while</w:t>
      </w:r>
      <w:r w:rsidR="00103F4B" w:rsidRPr="001F2624">
        <w:rPr>
          <w:rFonts w:asciiTheme="majorBidi" w:hAnsiTheme="majorBidi" w:cstheme="majorBidi"/>
        </w:rPr>
        <w:t xml:space="preserve"> IELT</w:t>
      </w:r>
      <w:r w:rsidRPr="001F2624">
        <w:rPr>
          <w:rFonts w:asciiTheme="majorBidi" w:hAnsiTheme="majorBidi" w:cstheme="majorBidi"/>
        </w:rPr>
        <w:t xml:space="preserve"> had a larger eff</w:t>
      </w:r>
      <w:r w:rsidR="009C7261" w:rsidRPr="001F2624">
        <w:rPr>
          <w:rFonts w:asciiTheme="majorBidi" w:hAnsiTheme="majorBidi" w:cstheme="majorBidi"/>
        </w:rPr>
        <w:t>ect size compared to MPC. The metacognitive</w:t>
      </w:r>
      <w:r w:rsidRPr="001F2624">
        <w:rPr>
          <w:rFonts w:asciiTheme="majorBidi" w:hAnsiTheme="majorBidi" w:cstheme="majorBidi"/>
        </w:rPr>
        <w:t xml:space="preserve"> instruction models also caused EG1 and EG2 to outperform both control groups on L.C. posttest and again</w:t>
      </w:r>
      <w:r w:rsidR="009C7261" w:rsidRPr="001F2624">
        <w:rPr>
          <w:rFonts w:asciiTheme="majorBidi" w:hAnsiTheme="majorBidi" w:cstheme="majorBidi"/>
        </w:rPr>
        <w:t xml:space="preserve"> IELT</w:t>
      </w:r>
      <w:r w:rsidRPr="001F2624">
        <w:rPr>
          <w:rFonts w:asciiTheme="majorBidi" w:hAnsiTheme="majorBidi" w:cstheme="majorBidi"/>
        </w:rPr>
        <w:t xml:space="preserve"> led into larger effect size. Be</w:t>
      </w:r>
      <w:r w:rsidR="009C7261" w:rsidRPr="001F2624">
        <w:rPr>
          <w:rFonts w:asciiTheme="majorBidi" w:hAnsiTheme="majorBidi" w:cstheme="majorBidi"/>
        </w:rPr>
        <w:t>sides, it was only IELT</w:t>
      </w:r>
      <w:r w:rsidRPr="001F2624">
        <w:rPr>
          <w:rFonts w:asciiTheme="majorBidi" w:hAnsiTheme="majorBidi" w:cstheme="majorBidi"/>
        </w:rPr>
        <w:t xml:space="preserve"> that could help learners transfer their metacognitive knowledge when taking the more difficult transfer test.</w:t>
      </w:r>
    </w:p>
    <w:p w14:paraId="011D893A"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The outcomes of this study on self-regulation in L.C. attainment confirmed B</w:t>
      </w:r>
      <w:r w:rsidR="001A18EF">
        <w:rPr>
          <w:rFonts w:asciiTheme="majorBidi" w:hAnsiTheme="majorBidi" w:cstheme="majorBidi"/>
        </w:rPr>
        <w:t>oer, Donker-Bergstra and Koston</w:t>
      </w:r>
      <w:r w:rsidRPr="001F2624">
        <w:rPr>
          <w:rFonts w:asciiTheme="majorBidi" w:hAnsiTheme="majorBidi" w:cstheme="majorBidi"/>
        </w:rPr>
        <w:t xml:space="preserve">’s (2012) results who, through meta-analysis, proved that among 14 investigated strategies, instructing metacognitive strategies produces significantly higher effects on self-regulation in L.C. attainment. They reported a .3 higher </w:t>
      </w:r>
      <w:r w:rsidR="009C7261" w:rsidRPr="001F2624">
        <w:rPr>
          <w:rFonts w:asciiTheme="majorBidi" w:hAnsiTheme="majorBidi" w:cstheme="majorBidi"/>
        </w:rPr>
        <w:t xml:space="preserve">average effect size on </w:t>
      </w:r>
      <w:r w:rsidRPr="001F2624">
        <w:rPr>
          <w:rFonts w:asciiTheme="majorBidi" w:hAnsiTheme="majorBidi" w:cstheme="majorBidi"/>
        </w:rPr>
        <w:t>instruction</w:t>
      </w:r>
      <w:r w:rsidR="009C7261" w:rsidRPr="001F2624">
        <w:rPr>
          <w:rFonts w:asciiTheme="majorBidi" w:hAnsiTheme="majorBidi" w:cstheme="majorBidi"/>
        </w:rPr>
        <w:t>s</w:t>
      </w:r>
      <w:r w:rsidRPr="001F2624">
        <w:rPr>
          <w:rFonts w:asciiTheme="majorBidi" w:hAnsiTheme="majorBidi" w:cstheme="majorBidi"/>
        </w:rPr>
        <w:t xml:space="preserve"> that included metacognitive</w:t>
      </w:r>
      <w:r w:rsidR="009C7261" w:rsidRPr="001F2624">
        <w:rPr>
          <w:rFonts w:asciiTheme="majorBidi" w:hAnsiTheme="majorBidi" w:cstheme="majorBidi"/>
        </w:rPr>
        <w:t xml:space="preserve"> strategies compared to</w:t>
      </w:r>
      <w:r w:rsidRPr="001F2624">
        <w:rPr>
          <w:rFonts w:asciiTheme="majorBidi" w:hAnsiTheme="majorBidi" w:cstheme="majorBidi"/>
        </w:rPr>
        <w:t xml:space="preserve"> instructions which did not. Elsewhere, Vandergrift and Tafaghodtari (2010) indicated an elevated self-regulation of L.C. based on the analysis of transcribed interviews for the group of participants who </w:t>
      </w:r>
      <w:r w:rsidR="009C7261" w:rsidRPr="001F2624">
        <w:rPr>
          <w:rFonts w:asciiTheme="majorBidi" w:hAnsiTheme="majorBidi" w:cstheme="majorBidi"/>
        </w:rPr>
        <w:t>were instructed implementing MPC</w:t>
      </w:r>
      <w:r w:rsidRPr="001F2624">
        <w:rPr>
          <w:rFonts w:asciiTheme="majorBidi" w:hAnsiTheme="majorBidi" w:cstheme="majorBidi"/>
        </w:rPr>
        <w:t>. Nasrollahi-Muziraji and Birjandi (2017) also reported a very strong link between metacognitive strategies and self-regulation in L.C. through running pathway analysis and posited effective listening to rely on the type of strategies used, the learner’s being self-regulated, and the type of instruction through which those strategies are presented.</w:t>
      </w:r>
    </w:p>
    <w:p w14:paraId="652638E8" w14:textId="77777777" w:rsidR="00142372" w:rsidRPr="001F2624" w:rsidRDefault="009C7261"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 xml:space="preserve">The task-based </w:t>
      </w:r>
      <w:r w:rsidR="00142372" w:rsidRPr="001F2624">
        <w:rPr>
          <w:rFonts w:asciiTheme="majorBidi" w:hAnsiTheme="majorBidi" w:cstheme="majorBidi"/>
        </w:rPr>
        <w:t>models’ success in inducing self-regulation in L.C. might be attributed to the reflection on evaluation of strategies these strategies instruction models entail. In both EG1 and EG2, learners went through a phase to reconsider their performance and to reflect on gain, while these were phases learners in ACG and PGC wer</w:t>
      </w:r>
      <w:r w:rsidR="000A0FD7" w:rsidRPr="001F2624">
        <w:rPr>
          <w:rFonts w:asciiTheme="majorBidi" w:hAnsiTheme="majorBidi" w:cstheme="majorBidi"/>
        </w:rPr>
        <w:t>e deprived of. Vandergrift (2004</w:t>
      </w:r>
      <w:r w:rsidR="00142372" w:rsidRPr="001F2624">
        <w:rPr>
          <w:rFonts w:asciiTheme="majorBidi" w:hAnsiTheme="majorBidi" w:cstheme="majorBidi"/>
        </w:rPr>
        <w:t>) confirms this by maintain that reflection on listening activities in the form of planning, predicting, monitoring and evaluating strategies can build motivation for L2 listening and increase constructive attributed beliefs about efficacy of implemented strategies.</w:t>
      </w:r>
    </w:p>
    <w:p w14:paraId="0661F706"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Besides the necessity of an engaging instruction, the obtained large effect size of IELT on self-regulation in L.C. attainment comp</w:t>
      </w:r>
      <w:r w:rsidR="009C7261" w:rsidRPr="001F2624">
        <w:rPr>
          <w:rFonts w:asciiTheme="majorBidi" w:hAnsiTheme="majorBidi" w:cstheme="majorBidi"/>
        </w:rPr>
        <w:t>ared to small effect size of MPC</w:t>
      </w:r>
      <w:r w:rsidRPr="001F2624">
        <w:rPr>
          <w:rFonts w:asciiTheme="majorBidi" w:hAnsiTheme="majorBidi" w:cstheme="majorBidi"/>
        </w:rPr>
        <w:t xml:space="preserve"> forges yet another link between the former model and self-regulation in </w:t>
      </w:r>
      <w:r w:rsidR="009B433F" w:rsidRPr="001F2624">
        <w:rPr>
          <w:rFonts w:asciiTheme="majorBidi" w:hAnsiTheme="majorBidi" w:cstheme="majorBidi"/>
        </w:rPr>
        <w:t>L.C.</w:t>
      </w:r>
      <w:r w:rsidRPr="001F2624">
        <w:rPr>
          <w:rFonts w:asciiTheme="majorBidi" w:hAnsiTheme="majorBidi" w:cstheme="majorBidi"/>
        </w:rPr>
        <w:t xml:space="preserve"> As Bandura’s (1989) social cognitive theory posits, a learner’s being metacognitively, motivationally and behaviorally active in their learning process sets the degree of their being self-regulated and this paper’s finding confirms that. </w:t>
      </w:r>
      <w:r w:rsidR="003F29B9" w:rsidRPr="001F2624">
        <w:rPr>
          <w:rFonts w:asciiTheme="majorBidi" w:hAnsiTheme="majorBidi" w:cstheme="majorBidi"/>
        </w:rPr>
        <w:t>This finding of the study seem</w:t>
      </w:r>
      <w:r w:rsidR="004433ED" w:rsidRPr="001F2624">
        <w:rPr>
          <w:rFonts w:asciiTheme="majorBidi" w:hAnsiTheme="majorBidi" w:cstheme="majorBidi"/>
        </w:rPr>
        <w:t>s</w:t>
      </w:r>
      <w:r w:rsidR="003F29B9" w:rsidRPr="001F2624">
        <w:rPr>
          <w:rFonts w:asciiTheme="majorBidi" w:hAnsiTheme="majorBidi" w:cstheme="majorBidi"/>
        </w:rPr>
        <w:t xml:space="preserve"> to nullify Vandergrift and Tafaghodtari’s (2010) and </w:t>
      </w:r>
      <w:r w:rsidR="004433ED" w:rsidRPr="001F2624">
        <w:rPr>
          <w:rFonts w:asciiTheme="majorBidi" w:hAnsiTheme="majorBidi" w:cstheme="majorBidi"/>
        </w:rPr>
        <w:t>Cross’s (2009) attributing</w:t>
      </w:r>
      <w:r w:rsidR="003F29B9" w:rsidRPr="001F2624">
        <w:rPr>
          <w:rFonts w:asciiTheme="majorBidi" w:hAnsiTheme="majorBidi" w:cstheme="majorBidi"/>
        </w:rPr>
        <w:t xml:space="preserve"> learners’ becoming more metacognitively aware to the fact that metacognitive strategies were being embedded in the task cycles. Cross (2009) who specifically defined a control group in his experiment that received mere explicit metacognitive strategy instruction, as did ACG in this study, reported that role of explicit instruction as mute and justified</w:t>
      </w:r>
      <w:r w:rsidR="004433ED" w:rsidRPr="001F2624">
        <w:rPr>
          <w:rFonts w:asciiTheme="majorBidi" w:hAnsiTheme="majorBidi" w:cstheme="majorBidi"/>
        </w:rPr>
        <w:t xml:space="preserve"> it</w:t>
      </w:r>
      <w:r w:rsidR="003F29B9" w:rsidRPr="001F2624">
        <w:rPr>
          <w:rFonts w:asciiTheme="majorBidi" w:hAnsiTheme="majorBidi" w:cstheme="majorBidi"/>
        </w:rPr>
        <w:t xml:space="preserve"> on the real-life features that strategy-embedded metacognitive instruction bears.</w:t>
      </w:r>
      <w:r w:rsidR="004433ED" w:rsidRPr="001F2624">
        <w:rPr>
          <w:rFonts w:asciiTheme="majorBidi" w:hAnsiTheme="majorBidi" w:cstheme="majorBidi"/>
        </w:rPr>
        <w:t xml:space="preserve"> On the other hand, though,</w:t>
      </w:r>
      <w:r w:rsidR="00F20D4E">
        <w:rPr>
          <w:rFonts w:asciiTheme="majorBidi" w:hAnsiTheme="majorBidi" w:cstheme="majorBidi"/>
        </w:rPr>
        <w:t xml:space="preserve"> </w:t>
      </w:r>
      <w:r w:rsidRPr="001F2624">
        <w:rPr>
          <w:rFonts w:asciiTheme="majorBidi" w:hAnsiTheme="majorBidi" w:cstheme="majorBidi"/>
        </w:rPr>
        <w:t xml:space="preserve">IELT’s larger effect size can be attributed to </w:t>
      </w:r>
      <w:r w:rsidR="009C7261" w:rsidRPr="001F2624">
        <w:rPr>
          <w:rFonts w:asciiTheme="majorBidi" w:hAnsiTheme="majorBidi" w:cstheme="majorBidi"/>
        </w:rPr>
        <w:t xml:space="preserve">the </w:t>
      </w:r>
      <w:r w:rsidRPr="001F2624">
        <w:rPr>
          <w:rFonts w:asciiTheme="majorBidi" w:hAnsiTheme="majorBidi" w:cstheme="majorBidi"/>
        </w:rPr>
        <w:t xml:space="preserve">elaborate reflection and evaluation tasks that metacognitively and motivationally engaged </w:t>
      </w:r>
      <w:r w:rsidRPr="001F2624">
        <w:rPr>
          <w:rFonts w:asciiTheme="majorBidi" w:hAnsiTheme="majorBidi" w:cstheme="majorBidi"/>
        </w:rPr>
        <w:lastRenderedPageBreak/>
        <w:t>learners in top down process</w:t>
      </w:r>
      <w:r w:rsidR="004433ED" w:rsidRPr="001F2624">
        <w:rPr>
          <w:rFonts w:asciiTheme="majorBidi" w:hAnsiTheme="majorBidi" w:cstheme="majorBidi"/>
        </w:rPr>
        <w:t xml:space="preserve"> which is also confirmed by prestigious researchers.</w:t>
      </w:r>
      <w:r w:rsidR="000A0FD7" w:rsidRPr="001F2624">
        <w:rPr>
          <w:rFonts w:asciiTheme="majorBidi" w:hAnsiTheme="majorBidi" w:cstheme="majorBidi"/>
        </w:rPr>
        <w:t xml:space="preserve"> Goh (2008</w:t>
      </w:r>
      <w:r w:rsidRPr="001F2624">
        <w:rPr>
          <w:rFonts w:asciiTheme="majorBidi" w:hAnsiTheme="majorBidi" w:cstheme="majorBidi"/>
        </w:rPr>
        <w:t>) renders</w:t>
      </w:r>
      <w:r w:rsidR="009C7261" w:rsidRPr="001F2624">
        <w:rPr>
          <w:rFonts w:asciiTheme="majorBidi" w:hAnsiTheme="majorBidi" w:cstheme="majorBidi"/>
        </w:rPr>
        <w:t xml:space="preserve"> top-down processes</w:t>
      </w:r>
      <w:r w:rsidRPr="001F2624">
        <w:rPr>
          <w:rFonts w:asciiTheme="majorBidi" w:hAnsiTheme="majorBidi" w:cstheme="majorBidi"/>
        </w:rPr>
        <w:t xml:space="preserve"> as necessary and the explicit strategy instruction included in the model satisfies Lai and Lin’s (2015) call for integrating metacognitive awareness raising into</w:t>
      </w:r>
      <w:r w:rsidR="009C7261" w:rsidRPr="001F2624">
        <w:rPr>
          <w:rFonts w:asciiTheme="majorBidi" w:hAnsiTheme="majorBidi" w:cstheme="majorBidi"/>
        </w:rPr>
        <w:t xml:space="preserve"> TBLT. It can be argued that MPC</w:t>
      </w:r>
      <w:r w:rsidRPr="001F2624">
        <w:rPr>
          <w:rFonts w:asciiTheme="majorBidi" w:hAnsiTheme="majorBidi" w:cstheme="majorBidi"/>
        </w:rPr>
        <w:t>’s more enquiry-based approach to metacognitive strategies was too demanding on lower intermediate cogni</w:t>
      </w:r>
      <w:r w:rsidR="009C7261" w:rsidRPr="001F2624">
        <w:rPr>
          <w:rFonts w:asciiTheme="majorBidi" w:hAnsiTheme="majorBidi" w:cstheme="majorBidi"/>
        </w:rPr>
        <w:t>tion of the participants and thus MPC</w:t>
      </w:r>
      <w:r w:rsidRPr="001F2624">
        <w:rPr>
          <w:rFonts w:asciiTheme="majorBidi" w:hAnsiTheme="majorBidi" w:cstheme="majorBidi"/>
        </w:rPr>
        <w:t xml:space="preserve"> could not be as effective in inducing meaningful learning.</w:t>
      </w:r>
    </w:p>
    <w:p w14:paraId="774E5ED8"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Schmidt’s (1995) model of consciousness also supports this discussion. As he posits, among its four elements, namely, awareness, attention, intention and cognitive effort, attention is the key element of consciousness. While learner</w:t>
      </w:r>
      <w:r w:rsidR="00A74947" w:rsidRPr="001F2624">
        <w:rPr>
          <w:rFonts w:asciiTheme="majorBidi" w:hAnsiTheme="majorBidi" w:cstheme="majorBidi"/>
        </w:rPr>
        <w:t>s in EG2 received strategy-embedded instruction</w:t>
      </w:r>
      <w:r w:rsidRPr="001F2624">
        <w:rPr>
          <w:rFonts w:asciiTheme="majorBidi" w:hAnsiTheme="majorBidi" w:cstheme="majorBidi"/>
        </w:rPr>
        <w:t>, learners in EG1 were explicitly taught metacognitive strategies and it can be argued that the actively engaged attention was indeed reflected in larger effec</w:t>
      </w:r>
      <w:r w:rsidR="00A74947" w:rsidRPr="001F2624">
        <w:rPr>
          <w:rFonts w:asciiTheme="majorBidi" w:hAnsiTheme="majorBidi" w:cstheme="majorBidi"/>
        </w:rPr>
        <w:t>t size this research witnessed with EG1 results</w:t>
      </w:r>
      <w:r w:rsidRPr="001F2624">
        <w:rPr>
          <w:rFonts w:asciiTheme="majorBidi" w:hAnsiTheme="majorBidi" w:cstheme="majorBidi"/>
        </w:rPr>
        <w:t xml:space="preserve">. As Schmidt (1995) further discusses, attention has its own subparts i.e. detection, alertness and orientation. In EG1, learners experienced all three subparts in phases three, five and six of the instruction </w:t>
      </w:r>
      <w:r w:rsidR="009B433F" w:rsidRPr="001F2624">
        <w:rPr>
          <w:rFonts w:asciiTheme="majorBidi" w:hAnsiTheme="majorBidi" w:cstheme="majorBidi"/>
        </w:rPr>
        <w:t>models</w:t>
      </w:r>
      <w:r w:rsidRPr="001F2624">
        <w:rPr>
          <w:rFonts w:asciiTheme="majorBidi" w:hAnsiTheme="majorBidi" w:cstheme="majorBidi"/>
        </w:rPr>
        <w:t xml:space="preserve"> respectively, while in EG2, they went through detection, had no alertness and as a result of missing alertness the orientation phase seemed to get fuzzy. It may support the point that although attention in Schmidt’s model is an important factor in self-regulation in L.C. attainment, it may not work as well if alertness and orientation are not part of the process. The fact that EG2 outperformed ACG in self-regulation in L.C. attainment might be attributed to the point that reflection has a greater role than attention after all and ACG’s performance not being significantly different from that of PCG also supports the idea that reflection is key.</w:t>
      </w:r>
    </w:p>
    <w:p w14:paraId="1499711E"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In line with findings of Chou (2017), who reported the mastery of task-based strategy instruction over explicit strategy instruction in elevating L.C. performance, and Lye &amp; Go</w:t>
      </w:r>
      <w:r w:rsidR="00F20D4E">
        <w:rPr>
          <w:rFonts w:asciiTheme="majorBidi" w:hAnsiTheme="majorBidi" w:cstheme="majorBidi"/>
        </w:rPr>
        <w:t>h’s (2016) and Vandergrift and T</w:t>
      </w:r>
      <w:r w:rsidRPr="001F2624">
        <w:rPr>
          <w:rFonts w:asciiTheme="majorBidi" w:hAnsiTheme="majorBidi" w:cstheme="majorBidi"/>
        </w:rPr>
        <w:t>afaghodtari’s (2010), who both witnessed improvement in L.C. performance of the group</w:t>
      </w:r>
      <w:r w:rsidR="00A74947" w:rsidRPr="001F2624">
        <w:rPr>
          <w:rFonts w:asciiTheme="majorBidi" w:hAnsiTheme="majorBidi" w:cstheme="majorBidi"/>
        </w:rPr>
        <w:t>s that were instructed using MPC</w:t>
      </w:r>
      <w:r w:rsidRPr="001F2624">
        <w:rPr>
          <w:rFonts w:asciiTheme="majorBidi" w:hAnsiTheme="majorBidi" w:cstheme="majorBidi"/>
        </w:rPr>
        <w:t xml:space="preserve"> compared to a group receiving no strategy instruction at all, the value of strategy training in improving L.C. performance was proved by this study</w:t>
      </w:r>
      <w:r w:rsidR="00A74947" w:rsidRPr="001F2624">
        <w:rPr>
          <w:rFonts w:asciiTheme="majorBidi" w:hAnsiTheme="majorBidi" w:cstheme="majorBidi"/>
        </w:rPr>
        <w:t xml:space="preserve"> as well. The findings</w:t>
      </w:r>
      <w:r w:rsidRPr="001F2624">
        <w:rPr>
          <w:rFonts w:asciiTheme="majorBidi" w:hAnsiTheme="majorBidi" w:cstheme="majorBidi"/>
        </w:rPr>
        <w:t xml:space="preserve"> seem to nullify a big proportion of researches on teaching L</w:t>
      </w:r>
      <w:r w:rsidR="00DE4FB3" w:rsidRPr="001F2624">
        <w:rPr>
          <w:rFonts w:asciiTheme="majorBidi" w:hAnsiTheme="majorBidi" w:cstheme="majorBidi"/>
        </w:rPr>
        <w:t>.C. strategies (e.g.</w:t>
      </w:r>
      <w:r w:rsidR="00F20D4E">
        <w:rPr>
          <w:rFonts w:asciiTheme="majorBidi" w:hAnsiTheme="majorBidi" w:cstheme="majorBidi"/>
        </w:rPr>
        <w:t>,</w:t>
      </w:r>
      <w:r w:rsidR="00DE4FB3" w:rsidRPr="001F2624">
        <w:rPr>
          <w:rFonts w:asciiTheme="majorBidi" w:hAnsiTheme="majorBidi" w:cstheme="majorBidi"/>
        </w:rPr>
        <w:t xml:space="preserve"> Guan, 2014</w:t>
      </w:r>
      <w:r w:rsidRPr="001F2624">
        <w:rPr>
          <w:rFonts w:asciiTheme="majorBidi" w:hAnsiTheme="majorBidi" w:cstheme="majorBidi"/>
        </w:rPr>
        <w:t>; Thompson &amp; Rubin, 1996) which advocate the usefulness of making learners aware of specific strategies, demonstration of their helpfulness and provis</w:t>
      </w:r>
      <w:r w:rsidR="00A74947" w:rsidRPr="001F2624">
        <w:rPr>
          <w:rFonts w:asciiTheme="majorBidi" w:hAnsiTheme="majorBidi" w:cstheme="majorBidi"/>
        </w:rPr>
        <w:t>ion of their conscious practice and emphasize elaborations on a specifically designed structured support in the form of step by step instructional model to scaffold learners’ progress</w:t>
      </w:r>
      <w:r w:rsidR="009C69A0" w:rsidRPr="001F2624">
        <w:rPr>
          <w:rFonts w:asciiTheme="majorBidi" w:hAnsiTheme="majorBidi" w:cstheme="majorBidi"/>
        </w:rPr>
        <w:t xml:space="preserve"> through L.C.</w:t>
      </w:r>
      <w:r w:rsidR="00A74947" w:rsidRPr="001F2624">
        <w:rPr>
          <w:rFonts w:asciiTheme="majorBidi" w:hAnsiTheme="majorBidi" w:cstheme="majorBidi"/>
        </w:rPr>
        <w:t xml:space="preserve"> process.</w:t>
      </w:r>
    </w:p>
    <w:p w14:paraId="5D954E0F" w14:textId="41C69714" w:rsidR="00142372"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The fact that ACG showed no significant improvement in L.C. performance, despite following the same steps, can be attributed to the fact that learners in ACG received the explicit knowledge but had no meaningful engagement in a complex task so that the received explicit information</w:t>
      </w:r>
      <w:r w:rsidR="00A74947" w:rsidRPr="001F2624">
        <w:rPr>
          <w:rFonts w:asciiTheme="majorBidi" w:hAnsiTheme="majorBidi" w:cstheme="majorBidi"/>
        </w:rPr>
        <w:t>, as confirmed by Chou (2017),</w:t>
      </w:r>
      <w:r w:rsidRPr="001F2624">
        <w:rPr>
          <w:rFonts w:asciiTheme="majorBidi" w:hAnsiTheme="majorBidi" w:cstheme="majorBidi"/>
        </w:rPr>
        <w:t xml:space="preserve"> would</w:t>
      </w:r>
      <w:r w:rsidR="00A74947" w:rsidRPr="001F2624">
        <w:rPr>
          <w:rFonts w:asciiTheme="majorBidi" w:hAnsiTheme="majorBidi" w:cstheme="majorBidi"/>
        </w:rPr>
        <w:t xml:space="preserve"> not</w:t>
      </w:r>
      <w:r w:rsidRPr="001F2624">
        <w:rPr>
          <w:rFonts w:asciiTheme="majorBidi" w:hAnsiTheme="majorBidi" w:cstheme="majorBidi"/>
        </w:rPr>
        <w:t xml:space="preserve"> change into implicit knowledge, while the presence of this factor</w:t>
      </w:r>
      <w:r w:rsidR="00AF25EB" w:rsidRPr="001F2624">
        <w:rPr>
          <w:rFonts w:asciiTheme="majorBidi" w:hAnsiTheme="majorBidi" w:cstheme="majorBidi"/>
        </w:rPr>
        <w:t xml:space="preserve"> in experimental groups can be</w:t>
      </w:r>
      <w:r w:rsidRPr="001F2624">
        <w:rPr>
          <w:rFonts w:asciiTheme="majorBidi" w:hAnsiTheme="majorBidi" w:cstheme="majorBidi"/>
        </w:rPr>
        <w:t xml:space="preserve"> contributed to their improved L.C. performance</w:t>
      </w:r>
      <w:r w:rsidR="00AF25EB" w:rsidRPr="001F2624">
        <w:rPr>
          <w:rFonts w:asciiTheme="majorBidi" w:hAnsiTheme="majorBidi" w:cstheme="majorBidi"/>
        </w:rPr>
        <w:t xml:space="preserve"> due to t</w:t>
      </w:r>
      <w:r w:rsidR="00D366C6" w:rsidRPr="001F2624">
        <w:rPr>
          <w:rFonts w:asciiTheme="majorBidi" w:hAnsiTheme="majorBidi" w:cstheme="majorBidi"/>
        </w:rPr>
        <w:t>arget task performance and task follow up phases (Norris, 2011) that made elaboration, reflection and evaluation possible</w:t>
      </w:r>
      <w:r w:rsidRPr="001F2624">
        <w:rPr>
          <w:rFonts w:asciiTheme="majorBidi" w:hAnsiTheme="majorBidi" w:cstheme="majorBidi"/>
        </w:rPr>
        <w:t xml:space="preserve">. The smaller effect size reported on the significance </w:t>
      </w:r>
      <w:r w:rsidR="00D366C6" w:rsidRPr="001F2624">
        <w:rPr>
          <w:rFonts w:asciiTheme="majorBidi" w:hAnsiTheme="majorBidi" w:cstheme="majorBidi"/>
        </w:rPr>
        <w:t>of MPC</w:t>
      </w:r>
      <w:r w:rsidRPr="001F2624">
        <w:rPr>
          <w:rFonts w:asciiTheme="majorBidi" w:hAnsiTheme="majorBidi" w:cstheme="majorBidi"/>
        </w:rPr>
        <w:t xml:space="preserve"> in inducing L.C. is supportable with Liem and Martin’s (2013) assertion that enquiry-based instruction directed to less proficient learners would lead to smaller effect size as opposed to explicit instruction. It can be argued that the success IELT acquired both against each of the control</w:t>
      </w:r>
      <w:r w:rsidR="00D366C6" w:rsidRPr="001F2624">
        <w:rPr>
          <w:rFonts w:asciiTheme="majorBidi" w:hAnsiTheme="majorBidi" w:cstheme="majorBidi"/>
        </w:rPr>
        <w:t xml:space="preserve"> groups and its mastery over MPC in inducing L.C. improvement</w:t>
      </w:r>
      <w:r w:rsidRPr="001F2624">
        <w:rPr>
          <w:rFonts w:asciiTheme="majorBidi" w:hAnsiTheme="majorBidi" w:cstheme="majorBidi"/>
        </w:rPr>
        <w:t xml:space="preserve"> reported in the larger reported effect size, might be attributed to its uniting </w:t>
      </w:r>
      <w:r w:rsidR="009B433F" w:rsidRPr="001F2624">
        <w:rPr>
          <w:rFonts w:asciiTheme="majorBidi" w:hAnsiTheme="majorBidi" w:cstheme="majorBidi"/>
        </w:rPr>
        <w:t>Schimdt’s</w:t>
      </w:r>
      <w:r w:rsidRPr="001F2624">
        <w:rPr>
          <w:rFonts w:asciiTheme="majorBidi" w:hAnsiTheme="majorBidi" w:cstheme="majorBidi"/>
        </w:rPr>
        <w:t xml:space="preserve"> (1995) consciousness model through the explicit instruction it entailed and the cognitive fluency development it created through access fluidity and attention control</w:t>
      </w:r>
      <w:r w:rsidR="00D366C6" w:rsidRPr="001F2624">
        <w:rPr>
          <w:rFonts w:asciiTheme="majorBidi" w:hAnsiTheme="majorBidi" w:cstheme="majorBidi"/>
        </w:rPr>
        <w:t>. Segalowitz</w:t>
      </w:r>
      <w:r w:rsidR="00F20D4E">
        <w:rPr>
          <w:rFonts w:asciiTheme="majorBidi" w:hAnsiTheme="majorBidi" w:cstheme="majorBidi"/>
        </w:rPr>
        <w:t xml:space="preserve"> </w:t>
      </w:r>
      <w:r w:rsidR="00D366C6" w:rsidRPr="001F2624">
        <w:rPr>
          <w:rFonts w:asciiTheme="majorBidi" w:hAnsiTheme="majorBidi" w:cstheme="majorBidi"/>
        </w:rPr>
        <w:t>(</w:t>
      </w:r>
      <w:r w:rsidRPr="001F2624">
        <w:rPr>
          <w:rFonts w:asciiTheme="majorBidi" w:hAnsiTheme="majorBidi" w:cstheme="majorBidi"/>
        </w:rPr>
        <w:t xml:space="preserve">2007) believes </w:t>
      </w:r>
      <w:r w:rsidR="00D366C6" w:rsidRPr="001F2624">
        <w:rPr>
          <w:rFonts w:asciiTheme="majorBidi" w:hAnsiTheme="majorBidi" w:cstheme="majorBidi"/>
        </w:rPr>
        <w:t xml:space="preserve">that access fluidity and attention control </w:t>
      </w:r>
      <w:r w:rsidR="009B433F" w:rsidRPr="001F2624">
        <w:rPr>
          <w:rFonts w:asciiTheme="majorBidi" w:hAnsiTheme="majorBidi" w:cstheme="majorBidi"/>
        </w:rPr>
        <w:t>take</w:t>
      </w:r>
      <w:r w:rsidRPr="001F2624">
        <w:rPr>
          <w:rFonts w:asciiTheme="majorBidi" w:hAnsiTheme="majorBidi" w:cstheme="majorBidi"/>
        </w:rPr>
        <w:t xml:space="preserve"> place when </w:t>
      </w:r>
      <w:r w:rsidR="00D366C6" w:rsidRPr="001F2624">
        <w:rPr>
          <w:rFonts w:asciiTheme="majorBidi" w:hAnsiTheme="majorBidi" w:cstheme="majorBidi"/>
        </w:rPr>
        <w:t xml:space="preserve">one is </w:t>
      </w:r>
      <w:r w:rsidRPr="001F2624">
        <w:rPr>
          <w:rFonts w:asciiTheme="majorBidi" w:hAnsiTheme="majorBidi" w:cstheme="majorBidi"/>
        </w:rPr>
        <w:t>in a process-based engagement with meaning. The same discussion sounds i</w:t>
      </w:r>
      <w:r w:rsidR="00D366C6" w:rsidRPr="001F2624">
        <w:rPr>
          <w:rFonts w:asciiTheme="majorBidi" w:hAnsiTheme="majorBidi" w:cstheme="majorBidi"/>
        </w:rPr>
        <w:t>n place when explaining the mastery of IELT (EG1)</w:t>
      </w:r>
      <w:r w:rsidRPr="001F2624">
        <w:rPr>
          <w:rFonts w:asciiTheme="majorBidi" w:hAnsiTheme="majorBidi" w:cstheme="majorBidi"/>
        </w:rPr>
        <w:t xml:space="preserve"> in standing high above </w:t>
      </w:r>
      <w:r w:rsidR="00D366C6" w:rsidRPr="001F2624">
        <w:rPr>
          <w:rFonts w:asciiTheme="majorBidi" w:hAnsiTheme="majorBidi" w:cstheme="majorBidi"/>
        </w:rPr>
        <w:t>MPC</w:t>
      </w:r>
      <w:r w:rsidRPr="001F2624">
        <w:rPr>
          <w:rFonts w:asciiTheme="majorBidi" w:hAnsiTheme="majorBidi" w:cstheme="majorBidi"/>
        </w:rPr>
        <w:t xml:space="preserve"> (EG2) and explicit strategy instruction (ACG) models in inducing significant changes in L.C. transfer test results.</w:t>
      </w:r>
    </w:p>
    <w:p w14:paraId="7A9EA5DD" w14:textId="334E1A0E" w:rsidR="00796176" w:rsidRDefault="00796176" w:rsidP="003973ED">
      <w:pPr>
        <w:spacing w:after="120" w:line="240" w:lineRule="auto"/>
        <w:ind w:left="115" w:right="72" w:firstLine="562"/>
        <w:jc w:val="both"/>
        <w:rPr>
          <w:rFonts w:asciiTheme="majorBidi" w:hAnsiTheme="majorBidi" w:cstheme="majorBidi"/>
        </w:rPr>
      </w:pPr>
    </w:p>
    <w:p w14:paraId="564A4DD9" w14:textId="77777777" w:rsidR="00796176" w:rsidRPr="001F2624" w:rsidRDefault="00796176" w:rsidP="003973ED">
      <w:pPr>
        <w:spacing w:after="120" w:line="240" w:lineRule="auto"/>
        <w:ind w:left="115" w:right="72" w:firstLine="562"/>
        <w:jc w:val="both"/>
        <w:rPr>
          <w:rFonts w:asciiTheme="majorBidi" w:hAnsiTheme="majorBidi" w:cstheme="majorBidi"/>
        </w:rPr>
      </w:pPr>
    </w:p>
    <w:p w14:paraId="43E07E33" w14:textId="77777777" w:rsidR="00142372" w:rsidRPr="001F2624" w:rsidRDefault="00151932" w:rsidP="0019078C">
      <w:pPr>
        <w:spacing w:after="120" w:line="240" w:lineRule="auto"/>
        <w:jc w:val="both"/>
        <w:rPr>
          <w:rFonts w:asciiTheme="majorBidi" w:hAnsiTheme="majorBidi" w:cstheme="majorBidi"/>
        </w:rPr>
      </w:pPr>
      <w:r>
        <w:rPr>
          <w:rFonts w:asciiTheme="majorBidi" w:hAnsiTheme="majorBidi" w:cstheme="majorBidi"/>
          <w:b/>
          <w:bCs/>
        </w:rPr>
        <w:lastRenderedPageBreak/>
        <w:t xml:space="preserve">6. </w:t>
      </w:r>
      <w:r w:rsidR="00142372" w:rsidRPr="001F2624">
        <w:rPr>
          <w:rFonts w:asciiTheme="majorBidi" w:hAnsiTheme="majorBidi" w:cstheme="majorBidi"/>
          <w:b/>
          <w:bCs/>
        </w:rPr>
        <w:t>Conclusion and Implications</w:t>
      </w:r>
    </w:p>
    <w:p w14:paraId="165641D2"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This study explored the efficacy of tas</w:t>
      </w:r>
      <w:r w:rsidR="00C50B42" w:rsidRPr="001F2624">
        <w:rPr>
          <w:rFonts w:asciiTheme="majorBidi" w:hAnsiTheme="majorBidi" w:cstheme="majorBidi"/>
        </w:rPr>
        <w:t>k-based strategy-nonintegrated (IELT) and strategy-embedded (MPC</w:t>
      </w:r>
      <w:r w:rsidRPr="001F2624">
        <w:rPr>
          <w:rFonts w:asciiTheme="majorBidi" w:hAnsiTheme="majorBidi" w:cstheme="majorBidi"/>
        </w:rPr>
        <w:t xml:space="preserve">) </w:t>
      </w:r>
      <w:r w:rsidR="00C50B42" w:rsidRPr="001F2624">
        <w:rPr>
          <w:rFonts w:asciiTheme="majorBidi" w:hAnsiTheme="majorBidi" w:cstheme="majorBidi"/>
        </w:rPr>
        <w:t>metac</w:t>
      </w:r>
      <w:r w:rsidR="00F20D4E">
        <w:rPr>
          <w:rFonts w:asciiTheme="majorBidi" w:hAnsiTheme="majorBidi" w:cstheme="majorBidi"/>
        </w:rPr>
        <w:t xml:space="preserve">ognitive instruction models of </w:t>
      </w:r>
      <w:r w:rsidR="00C50B42" w:rsidRPr="001F2624">
        <w:rPr>
          <w:rFonts w:asciiTheme="majorBidi" w:hAnsiTheme="majorBidi" w:cstheme="majorBidi"/>
        </w:rPr>
        <w:t>L.C.</w:t>
      </w:r>
      <w:r w:rsidRPr="001F2624">
        <w:rPr>
          <w:rFonts w:asciiTheme="majorBidi" w:hAnsiTheme="majorBidi" w:cstheme="majorBidi"/>
        </w:rPr>
        <w:t xml:space="preserve"> in inducing self-regulation of L.C. and development of L.C. perf</w:t>
      </w:r>
      <w:r w:rsidR="00CA5FD5" w:rsidRPr="001F2624">
        <w:rPr>
          <w:rFonts w:asciiTheme="majorBidi" w:hAnsiTheme="majorBidi" w:cstheme="majorBidi"/>
        </w:rPr>
        <w:t>ormance in an experiment against</w:t>
      </w:r>
      <w:r w:rsidRPr="001F2624">
        <w:rPr>
          <w:rFonts w:asciiTheme="majorBidi" w:hAnsiTheme="majorBidi" w:cstheme="majorBidi"/>
        </w:rPr>
        <w:t xml:space="preserve"> two control groups receiving traditional product-based L.C. instruction. The</w:t>
      </w:r>
      <w:r w:rsidR="00CA5FD5" w:rsidRPr="001F2624">
        <w:rPr>
          <w:rFonts w:asciiTheme="majorBidi" w:hAnsiTheme="majorBidi" w:cstheme="majorBidi"/>
        </w:rPr>
        <w:t xml:space="preserve"> finding </w:t>
      </w:r>
      <w:r w:rsidR="009B433F" w:rsidRPr="001F2624">
        <w:rPr>
          <w:rFonts w:asciiTheme="majorBidi" w:hAnsiTheme="majorBidi" w:cstheme="majorBidi"/>
        </w:rPr>
        <w:t>suggests</w:t>
      </w:r>
      <w:r w:rsidR="00CA5FD5" w:rsidRPr="001F2624">
        <w:rPr>
          <w:rFonts w:asciiTheme="majorBidi" w:hAnsiTheme="majorBidi" w:cstheme="majorBidi"/>
        </w:rPr>
        <w:t xml:space="preserve"> that IELT</w:t>
      </w:r>
      <w:r w:rsidRPr="001F2624">
        <w:rPr>
          <w:rFonts w:asciiTheme="majorBidi" w:hAnsiTheme="majorBidi" w:cstheme="majorBidi"/>
        </w:rPr>
        <w:t xml:space="preserve"> and </w:t>
      </w:r>
      <w:r w:rsidR="00CA5FD5" w:rsidRPr="001F2624">
        <w:rPr>
          <w:rFonts w:asciiTheme="majorBidi" w:hAnsiTheme="majorBidi" w:cstheme="majorBidi"/>
        </w:rPr>
        <w:t>MPC</w:t>
      </w:r>
      <w:r w:rsidRPr="001F2624">
        <w:rPr>
          <w:rFonts w:asciiTheme="majorBidi" w:hAnsiTheme="majorBidi" w:cstheme="majorBidi"/>
        </w:rPr>
        <w:t xml:space="preserve"> as superior to sole explicit metacognitive strategy instruction in inducing self-regulation in L.C. attainment and L.C. performance of B1 level Iranian EFL learners,</w:t>
      </w:r>
      <w:r w:rsidR="00CA5FD5" w:rsidRPr="001F2624">
        <w:rPr>
          <w:rFonts w:asciiTheme="majorBidi" w:hAnsiTheme="majorBidi" w:cstheme="majorBidi"/>
        </w:rPr>
        <w:t xml:space="preserve"> while strategy-nonintegrated metacognitive</w:t>
      </w:r>
      <w:r w:rsidRPr="001F2624">
        <w:rPr>
          <w:rFonts w:asciiTheme="majorBidi" w:hAnsiTheme="majorBidi" w:cstheme="majorBidi"/>
        </w:rPr>
        <w:t xml:space="preserve"> instruction outperformed </w:t>
      </w:r>
      <w:r w:rsidR="00CA5FD5" w:rsidRPr="001F2624">
        <w:rPr>
          <w:rFonts w:asciiTheme="majorBidi" w:hAnsiTheme="majorBidi" w:cstheme="majorBidi"/>
        </w:rPr>
        <w:t>strategy-embedded one</w:t>
      </w:r>
      <w:r w:rsidRPr="001F2624">
        <w:rPr>
          <w:rFonts w:asciiTheme="majorBidi" w:hAnsiTheme="majorBidi" w:cstheme="majorBidi"/>
        </w:rPr>
        <w:t xml:space="preserve"> in both areas and</w:t>
      </w:r>
      <w:r w:rsidR="00CA5FD5" w:rsidRPr="001F2624">
        <w:rPr>
          <w:rFonts w:asciiTheme="majorBidi" w:hAnsiTheme="majorBidi" w:cstheme="majorBidi"/>
        </w:rPr>
        <w:t xml:space="preserve"> it</w:t>
      </w:r>
      <w:r w:rsidRPr="001F2624">
        <w:rPr>
          <w:rFonts w:asciiTheme="majorBidi" w:hAnsiTheme="majorBidi" w:cstheme="majorBidi"/>
        </w:rPr>
        <w:t xml:space="preserve"> was the only model to help learners transfer </w:t>
      </w:r>
      <w:r w:rsidR="00CA5FD5" w:rsidRPr="001F2624">
        <w:rPr>
          <w:rFonts w:asciiTheme="majorBidi" w:hAnsiTheme="majorBidi" w:cstheme="majorBidi"/>
        </w:rPr>
        <w:t>the strategies</w:t>
      </w:r>
      <w:r w:rsidRPr="001F2624">
        <w:rPr>
          <w:rFonts w:asciiTheme="majorBidi" w:hAnsiTheme="majorBidi" w:cstheme="majorBidi"/>
        </w:rPr>
        <w:t xml:space="preserve"> to a more difficult test. </w:t>
      </w:r>
    </w:p>
    <w:p w14:paraId="0627E039" w14:textId="77777777" w:rsidR="00142372"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This study prioritized integrating explicit instruction and reflection (EG1) over just explicitness in instruction (ACG) or sole engagement that reflection offers (EG2)</w:t>
      </w:r>
      <w:r w:rsidR="00CA5FD5" w:rsidRPr="001F2624">
        <w:rPr>
          <w:rFonts w:asciiTheme="majorBidi" w:hAnsiTheme="majorBidi" w:cstheme="majorBidi"/>
        </w:rPr>
        <w:t xml:space="preserve"> in task-based metacognitive instruction of listening</w:t>
      </w:r>
      <w:r w:rsidRPr="001F2624">
        <w:rPr>
          <w:rFonts w:asciiTheme="majorBidi" w:hAnsiTheme="majorBidi" w:cstheme="majorBidi"/>
        </w:rPr>
        <w:t>. This research went beyond the studies that have proved instruction as important and valuable and compared the effectiveness of different paradigms of instruction. So, the results, although partially concurred with many studies, had whole new implications on their own. The outcomes of the study further draw attention to the way L.C. is taught in class. Although moving away from a compr</w:t>
      </w:r>
      <w:r w:rsidR="00082252" w:rsidRPr="001F2624">
        <w:rPr>
          <w:rFonts w:asciiTheme="majorBidi" w:hAnsiTheme="majorBidi" w:cstheme="majorBidi"/>
        </w:rPr>
        <w:t xml:space="preserve">ehension approach to L.C., </w:t>
      </w:r>
      <w:r w:rsidRPr="001F2624">
        <w:rPr>
          <w:rFonts w:asciiTheme="majorBidi" w:hAnsiTheme="majorBidi" w:cstheme="majorBidi"/>
        </w:rPr>
        <w:t>in which only the learner’s comprehension of a text is tested</w:t>
      </w:r>
      <w:r w:rsidR="00082252" w:rsidRPr="001F2624">
        <w:rPr>
          <w:rFonts w:asciiTheme="majorBidi" w:hAnsiTheme="majorBidi" w:cstheme="majorBidi"/>
        </w:rPr>
        <w:t>,</w:t>
      </w:r>
      <w:r w:rsidRPr="001F2624">
        <w:rPr>
          <w:rFonts w:asciiTheme="majorBidi" w:hAnsiTheme="majorBidi" w:cstheme="majorBidi"/>
        </w:rPr>
        <w:t xml:space="preserve"> and moving toward equipping learners with strategies they need to be more self-regulated is a success, how strategies are instructed counts much. Daftarifard and Birjandi (2017) posited that metacognitive strategies are hard to develop and need enriched programs to pertain. This study, as well, proved that </w:t>
      </w:r>
      <w:r w:rsidR="00082252" w:rsidRPr="001F2624">
        <w:rPr>
          <w:rFonts w:asciiTheme="majorBidi" w:hAnsiTheme="majorBidi" w:cstheme="majorBidi"/>
        </w:rPr>
        <w:t>using TBLT to attract</w:t>
      </w:r>
      <w:r w:rsidR="00F20D4E">
        <w:rPr>
          <w:rFonts w:asciiTheme="majorBidi" w:hAnsiTheme="majorBidi" w:cstheme="majorBidi"/>
        </w:rPr>
        <w:t xml:space="preserve"> </w:t>
      </w:r>
      <w:r w:rsidR="00082252" w:rsidRPr="001F2624">
        <w:rPr>
          <w:rFonts w:asciiTheme="majorBidi" w:hAnsiTheme="majorBidi" w:cstheme="majorBidi"/>
        </w:rPr>
        <w:t>learners’ attention and engage</w:t>
      </w:r>
      <w:r w:rsidRPr="001F2624">
        <w:rPr>
          <w:rFonts w:asciiTheme="majorBidi" w:hAnsiTheme="majorBidi" w:cstheme="majorBidi"/>
        </w:rPr>
        <w:t xml:space="preserve"> them in predicting and evaluating their learning process</w:t>
      </w:r>
      <w:r w:rsidR="00082252" w:rsidRPr="001F2624">
        <w:rPr>
          <w:rFonts w:asciiTheme="majorBidi" w:hAnsiTheme="majorBidi" w:cstheme="majorBidi"/>
        </w:rPr>
        <w:t xml:space="preserve"> and instruct them to reflect</w:t>
      </w:r>
      <w:r w:rsidRPr="001F2624">
        <w:rPr>
          <w:rFonts w:asciiTheme="majorBidi" w:hAnsiTheme="majorBidi" w:cstheme="majorBidi"/>
        </w:rPr>
        <w:t xml:space="preserve"> on their own performance in the mold of listening tasks they engage in, accompanied by explicit strategy instruction can induce learners’ self-regulation in L.C. attainment, improve L.C. performance and lead to their transferring the acquired metacognitive strategies to a more difficult test.</w:t>
      </w:r>
    </w:p>
    <w:p w14:paraId="42D19065" w14:textId="77777777" w:rsidR="00714655" w:rsidRPr="001F2624" w:rsidRDefault="00142372" w:rsidP="003973ED">
      <w:pPr>
        <w:spacing w:after="120" w:line="240" w:lineRule="auto"/>
        <w:ind w:left="115" w:right="72" w:firstLine="562"/>
        <w:jc w:val="both"/>
        <w:rPr>
          <w:rFonts w:asciiTheme="majorBidi" w:hAnsiTheme="majorBidi" w:cstheme="majorBidi"/>
        </w:rPr>
      </w:pPr>
      <w:r w:rsidRPr="001F2624">
        <w:rPr>
          <w:rFonts w:asciiTheme="majorBidi" w:hAnsiTheme="majorBidi" w:cstheme="majorBidi"/>
        </w:rPr>
        <w:t>Based on our findings, this study calls for moving past confirming the necessity of L.C. strategy instruction and delving in an attempt to reach a ‘structured support’ (Vandergrinft</w:t>
      </w:r>
      <w:r w:rsidR="00F20D4E">
        <w:rPr>
          <w:rFonts w:asciiTheme="majorBidi" w:hAnsiTheme="majorBidi" w:cstheme="majorBidi"/>
        </w:rPr>
        <w:t xml:space="preserve"> </w:t>
      </w:r>
      <w:r w:rsidRPr="001F2624">
        <w:rPr>
          <w:rFonts w:asciiTheme="majorBidi" w:hAnsiTheme="majorBidi" w:cstheme="majorBidi"/>
        </w:rPr>
        <w:t>&amp; Goh, 2012) through defining specific models of L.C. strategy instruction</w:t>
      </w:r>
      <w:r w:rsidR="00082252" w:rsidRPr="001F2624">
        <w:rPr>
          <w:rFonts w:asciiTheme="majorBidi" w:hAnsiTheme="majorBidi" w:cstheme="majorBidi"/>
        </w:rPr>
        <w:t xml:space="preserve"> in TBLT</w:t>
      </w:r>
      <w:r w:rsidRPr="001F2624">
        <w:rPr>
          <w:rFonts w:asciiTheme="majorBidi" w:hAnsiTheme="majorBidi" w:cstheme="majorBidi"/>
        </w:rPr>
        <w:t>. On the part of L.C. instructors, familiarity with</w:t>
      </w:r>
      <w:r w:rsidR="00082252" w:rsidRPr="001F2624">
        <w:rPr>
          <w:rFonts w:asciiTheme="majorBidi" w:hAnsiTheme="majorBidi" w:cstheme="majorBidi"/>
        </w:rPr>
        <w:t xml:space="preserve"> TBLT guidelines,</w:t>
      </w:r>
      <w:r w:rsidRPr="001F2624">
        <w:rPr>
          <w:rFonts w:asciiTheme="majorBidi" w:hAnsiTheme="majorBidi" w:cstheme="majorBidi"/>
        </w:rPr>
        <w:t xml:space="preserve"> metacognitive strategies, the way they should be taught and how they help learners would be helpful. In line with this, in-service training courses for language teachers in which existing strategy instruction models are presented might be beneficial. In a higher order of decision making, material developers are suggested to move away from a comprehension-based approach in developing listening comprehension materials and incorporate task-based metacognitive strategy instruction model</w:t>
      </w:r>
      <w:r w:rsidR="004056AC" w:rsidRPr="001F2624">
        <w:rPr>
          <w:rFonts w:asciiTheme="majorBidi" w:hAnsiTheme="majorBidi" w:cstheme="majorBidi"/>
        </w:rPr>
        <w:t>s</w:t>
      </w:r>
      <w:r w:rsidRPr="001F2624">
        <w:rPr>
          <w:rFonts w:asciiTheme="majorBidi" w:hAnsiTheme="majorBidi" w:cstheme="majorBidi"/>
        </w:rPr>
        <w:t xml:space="preserve"> in lesson designs.</w:t>
      </w:r>
    </w:p>
    <w:p w14:paraId="7C9D5A8A" w14:textId="77777777" w:rsidR="007A2B02" w:rsidRPr="001F2624" w:rsidRDefault="007A2B02" w:rsidP="0019078C">
      <w:pPr>
        <w:spacing w:after="120" w:line="240" w:lineRule="auto"/>
        <w:jc w:val="both"/>
        <w:rPr>
          <w:rFonts w:asciiTheme="majorBidi" w:hAnsiTheme="majorBidi" w:cstheme="majorBidi"/>
          <w:b/>
          <w:bCs/>
        </w:rPr>
      </w:pPr>
      <w:r w:rsidRPr="001F2624">
        <w:rPr>
          <w:rFonts w:asciiTheme="majorBidi" w:hAnsiTheme="majorBidi" w:cstheme="majorBidi"/>
          <w:b/>
          <w:bCs/>
        </w:rPr>
        <w:t xml:space="preserve">References </w:t>
      </w:r>
    </w:p>
    <w:p w14:paraId="3BA756E5"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shd w:val="clear" w:color="auto" w:fill="FFFFFF"/>
        </w:rPr>
      </w:pPr>
      <w:r w:rsidRPr="001F2624">
        <w:rPr>
          <w:rFonts w:asciiTheme="majorBidi" w:hAnsiTheme="majorBidi" w:cstheme="majorBidi"/>
          <w:shd w:val="clear" w:color="auto" w:fill="FFFFFF"/>
        </w:rPr>
        <w:t xml:space="preserve">Ahmadian, M. J. (2016). Task-based language teaching and learning. </w:t>
      </w:r>
      <w:r w:rsidRPr="001F2624">
        <w:rPr>
          <w:rFonts w:asciiTheme="majorBidi" w:hAnsiTheme="majorBidi" w:cstheme="majorBidi"/>
          <w:i/>
          <w:iCs/>
          <w:shd w:val="clear" w:color="auto" w:fill="FFFFFF"/>
        </w:rPr>
        <w:t>The language learning journal, 44</w:t>
      </w:r>
      <w:r w:rsidRPr="001F2624">
        <w:rPr>
          <w:rFonts w:asciiTheme="majorBidi" w:hAnsiTheme="majorBidi" w:cstheme="majorBidi"/>
          <w:shd w:val="clear" w:color="auto" w:fill="FFFFFF"/>
        </w:rPr>
        <w:t>(4), 377-380.</w:t>
      </w:r>
    </w:p>
    <w:p w14:paraId="1DBD6549"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Bacon, S. M. (1992). The relationship between gender, comprehension, processing strategies, and cognitive and affective response in foreign language listening. </w:t>
      </w:r>
      <w:r w:rsidRPr="001F2624">
        <w:rPr>
          <w:rFonts w:asciiTheme="majorBidi" w:hAnsiTheme="majorBidi" w:cstheme="majorBidi"/>
          <w:i/>
          <w:iCs/>
        </w:rPr>
        <w:t>Modern Language Journal, 76</w:t>
      </w:r>
      <w:r w:rsidRPr="001F2624">
        <w:rPr>
          <w:rFonts w:asciiTheme="majorBidi" w:hAnsiTheme="majorBidi" w:cstheme="majorBidi"/>
        </w:rPr>
        <w:t>(2), 160-177.</w:t>
      </w:r>
    </w:p>
    <w:p w14:paraId="05E3700C" w14:textId="77777777" w:rsidR="00DD06B3" w:rsidRPr="001F2624" w:rsidRDefault="00DD06B3" w:rsidP="00ED690F">
      <w:pPr>
        <w:shd w:val="clear" w:color="auto" w:fill="FFFFFF"/>
        <w:spacing w:after="0" w:line="240" w:lineRule="auto"/>
        <w:ind w:left="567" w:hanging="567"/>
        <w:jc w:val="both"/>
        <w:rPr>
          <w:rFonts w:asciiTheme="majorBidi" w:eastAsia="Times New Roman" w:hAnsiTheme="majorBidi" w:cstheme="majorBidi"/>
        </w:rPr>
      </w:pPr>
      <w:r w:rsidRPr="001F2624">
        <w:rPr>
          <w:rFonts w:asciiTheme="majorBidi" w:hAnsiTheme="majorBidi" w:cstheme="majorBidi"/>
        </w:rPr>
        <w:t xml:space="preserve">Bandura, A. (1989). </w:t>
      </w:r>
      <w:r w:rsidRPr="001F2624">
        <w:rPr>
          <w:rFonts w:asciiTheme="majorBidi" w:eastAsia="Times New Roman" w:hAnsiTheme="majorBidi" w:cstheme="majorBidi"/>
        </w:rPr>
        <w:t xml:space="preserve">Human agency in social cognitive theory. </w:t>
      </w:r>
      <w:r w:rsidRPr="001F2624">
        <w:rPr>
          <w:rFonts w:asciiTheme="majorBidi" w:hAnsiTheme="majorBidi" w:cstheme="majorBidi"/>
          <w:i/>
          <w:iCs/>
          <w:shd w:val="clear" w:color="auto" w:fill="FFFFFF"/>
        </w:rPr>
        <w:t>American Psychologist, 44</w:t>
      </w:r>
      <w:r w:rsidRPr="001F2624">
        <w:rPr>
          <w:rFonts w:asciiTheme="majorBidi" w:hAnsiTheme="majorBidi" w:cstheme="majorBidi"/>
          <w:shd w:val="clear" w:color="auto" w:fill="FFFFFF"/>
        </w:rPr>
        <w:t>(9), 1175-1184.</w:t>
      </w:r>
    </w:p>
    <w:p w14:paraId="014E3DA0"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Boer, H., Donker-Bergstra, A. S., &amp;</w:t>
      </w:r>
      <w:r w:rsidR="001A18EF">
        <w:rPr>
          <w:rFonts w:asciiTheme="majorBidi" w:hAnsiTheme="majorBidi" w:cstheme="majorBidi"/>
        </w:rPr>
        <w:t xml:space="preserve"> </w:t>
      </w:r>
      <w:r w:rsidRPr="001F2624">
        <w:rPr>
          <w:rFonts w:asciiTheme="majorBidi" w:hAnsiTheme="majorBidi" w:cstheme="majorBidi"/>
        </w:rPr>
        <w:t xml:space="preserve">Koston, D. D. N. M. (2012). </w:t>
      </w:r>
      <w:r w:rsidRPr="001F2624">
        <w:rPr>
          <w:rFonts w:asciiTheme="majorBidi" w:hAnsiTheme="majorBidi" w:cstheme="majorBidi"/>
          <w:i/>
          <w:iCs/>
        </w:rPr>
        <w:t>Effective strategies for self-regulated learning: A meta-analysis</w:t>
      </w:r>
      <w:r w:rsidRPr="001F2624">
        <w:rPr>
          <w:rFonts w:asciiTheme="majorBidi" w:hAnsiTheme="majorBidi" w:cstheme="majorBidi"/>
        </w:rPr>
        <w:t>. Groningen, Netherlands: GION.</w:t>
      </w:r>
    </w:p>
    <w:p w14:paraId="319EDE9F"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Buck, G. (2001). </w:t>
      </w:r>
      <w:r w:rsidRPr="001F2624">
        <w:rPr>
          <w:rFonts w:asciiTheme="majorBidi" w:hAnsiTheme="majorBidi" w:cstheme="majorBidi"/>
          <w:i/>
          <w:iCs/>
        </w:rPr>
        <w:t>Assessing language</w:t>
      </w:r>
      <w:r w:rsidRPr="001F2624">
        <w:rPr>
          <w:rFonts w:asciiTheme="majorBidi" w:hAnsiTheme="majorBidi" w:cstheme="majorBidi"/>
        </w:rPr>
        <w:t>. Cambridge: Cambridge University Press.</w:t>
      </w:r>
    </w:p>
    <w:p w14:paraId="36CF35C8" w14:textId="77777777" w:rsidR="00DD06B3" w:rsidRPr="001F2624" w:rsidRDefault="00CE3814"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Bygate, M. (2016). </w:t>
      </w:r>
      <w:r w:rsidR="00DD06B3" w:rsidRPr="001F2624">
        <w:rPr>
          <w:rFonts w:asciiTheme="majorBidi" w:hAnsiTheme="majorBidi" w:cstheme="majorBidi"/>
        </w:rPr>
        <w:t xml:space="preserve">Sources, developments and directions of task-based language teaching. </w:t>
      </w:r>
      <w:r w:rsidR="00DD06B3" w:rsidRPr="001F2624">
        <w:rPr>
          <w:rFonts w:asciiTheme="majorBidi" w:hAnsiTheme="majorBidi" w:cstheme="majorBidi"/>
          <w:i/>
          <w:iCs/>
        </w:rPr>
        <w:t>The Language Learning Journal, 44</w:t>
      </w:r>
      <w:r w:rsidR="00DD06B3" w:rsidRPr="001F2624">
        <w:rPr>
          <w:rFonts w:asciiTheme="majorBidi" w:hAnsiTheme="majorBidi" w:cstheme="majorBidi"/>
        </w:rPr>
        <w:t>(4), 381-400</w:t>
      </w:r>
    </w:p>
    <w:p w14:paraId="464F0B97" w14:textId="77777777" w:rsidR="00DD06B3" w:rsidRPr="001F2624" w:rsidRDefault="00DD06B3" w:rsidP="00ED690F">
      <w:pPr>
        <w:spacing w:after="0" w:line="240" w:lineRule="auto"/>
        <w:ind w:left="567" w:hanging="567"/>
        <w:jc w:val="both"/>
        <w:rPr>
          <w:rFonts w:asciiTheme="majorBidi" w:eastAsia="Arial Unicode MS" w:hAnsiTheme="majorBidi" w:cstheme="majorBidi"/>
          <w:shd w:val="clear" w:color="auto" w:fill="FFFFFF"/>
        </w:rPr>
      </w:pPr>
      <w:r w:rsidRPr="001F2624">
        <w:rPr>
          <w:rFonts w:asciiTheme="majorBidi" w:eastAsia="Arial Unicode MS" w:hAnsiTheme="majorBidi" w:cstheme="majorBidi"/>
          <w:shd w:val="clear" w:color="auto" w:fill="FFFFFF"/>
        </w:rPr>
        <w:t xml:space="preserve">Chamot, A. U., Barnhardt, S., El-Dinary, P., &amp; Robbins, J. (1999). </w:t>
      </w:r>
      <w:r w:rsidRPr="001F2624">
        <w:rPr>
          <w:rFonts w:asciiTheme="majorBidi" w:eastAsia="Arial Unicode MS" w:hAnsiTheme="majorBidi" w:cstheme="majorBidi"/>
          <w:i/>
          <w:iCs/>
          <w:shd w:val="clear" w:color="auto" w:fill="FFFFFF"/>
        </w:rPr>
        <w:t>The learning strategies handbook</w:t>
      </w:r>
      <w:r w:rsidRPr="001F2624">
        <w:rPr>
          <w:rFonts w:asciiTheme="majorBidi" w:eastAsia="Arial Unicode MS" w:hAnsiTheme="majorBidi" w:cstheme="majorBidi"/>
          <w:shd w:val="clear" w:color="auto" w:fill="FFFFFF"/>
        </w:rPr>
        <w:t>. White Plains: Addison Wesley Longman.</w:t>
      </w:r>
    </w:p>
    <w:p w14:paraId="617C7E6A"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lastRenderedPageBreak/>
        <w:t xml:space="preserve">Chou, M. H. (2017). A task-based language teaching approach to developing metacognitive strategies for listening comprehension. </w:t>
      </w:r>
      <w:r w:rsidRPr="001F2624">
        <w:rPr>
          <w:rFonts w:asciiTheme="majorBidi" w:hAnsiTheme="majorBidi" w:cstheme="majorBidi"/>
          <w:i/>
          <w:iCs/>
        </w:rPr>
        <w:t>International Journal of Listening, 31</w:t>
      </w:r>
      <w:r w:rsidRPr="001F2624">
        <w:rPr>
          <w:rFonts w:asciiTheme="majorBidi" w:hAnsiTheme="majorBidi" w:cstheme="majorBidi"/>
        </w:rPr>
        <w:t>(1), 51-70.</w:t>
      </w:r>
    </w:p>
    <w:p w14:paraId="000A8B31" w14:textId="77777777" w:rsidR="00297367" w:rsidRDefault="00297367"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Cross, J. D. (2009). Effects of listening strategy instruction on news video text comprehension. </w:t>
      </w:r>
      <w:r w:rsidRPr="001F2624">
        <w:rPr>
          <w:rFonts w:asciiTheme="majorBidi" w:hAnsiTheme="majorBidi" w:cstheme="majorBidi"/>
          <w:i/>
          <w:iCs/>
        </w:rPr>
        <w:t>Language Teaching Research, 13</w:t>
      </w:r>
      <w:r w:rsidRPr="001F2624">
        <w:rPr>
          <w:rFonts w:asciiTheme="majorBidi" w:hAnsiTheme="majorBidi" w:cstheme="majorBidi"/>
        </w:rPr>
        <w:t>, 151-176</w:t>
      </w:r>
      <w:r w:rsidR="001A18EF">
        <w:rPr>
          <w:rFonts w:asciiTheme="majorBidi" w:hAnsiTheme="majorBidi" w:cstheme="majorBidi"/>
        </w:rPr>
        <w:t>.</w:t>
      </w:r>
    </w:p>
    <w:p w14:paraId="2F8A92BF" w14:textId="77777777" w:rsidR="001A18EF" w:rsidRPr="001A18EF" w:rsidRDefault="001A18EF" w:rsidP="00ED690F">
      <w:pPr>
        <w:spacing w:after="0" w:line="240" w:lineRule="auto"/>
        <w:ind w:left="567" w:hanging="567"/>
        <w:jc w:val="both"/>
        <w:rPr>
          <w:rFonts w:asciiTheme="majorBidi" w:hAnsiTheme="majorBidi" w:cstheme="majorBidi"/>
        </w:rPr>
      </w:pPr>
      <w:r w:rsidRPr="001A18EF">
        <w:rPr>
          <w:rFonts w:asciiTheme="majorBidi" w:hAnsiTheme="majorBidi" w:cstheme="majorBidi"/>
        </w:rPr>
        <w:t xml:space="preserve">Cross, J. (2010). Raising L2 listeners’ metacognitive awareness: A socio-cultural theory perspective. </w:t>
      </w:r>
      <w:r w:rsidRPr="001A18EF">
        <w:rPr>
          <w:rFonts w:asciiTheme="majorBidi" w:hAnsiTheme="majorBidi" w:cstheme="majorBidi"/>
          <w:i/>
          <w:iCs/>
        </w:rPr>
        <w:t>Language Awareness, 19</w:t>
      </w:r>
      <w:r w:rsidRPr="001A18EF">
        <w:rPr>
          <w:rFonts w:asciiTheme="majorBidi" w:hAnsiTheme="majorBidi" w:cstheme="majorBidi"/>
        </w:rPr>
        <w:t>(4), 281-297.</w:t>
      </w:r>
    </w:p>
    <w:p w14:paraId="722C68DA"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Daftarifard, P., &amp;Birjandi, P. (2017). Impact of mediation types on Iranian EFL learners’ reading comprehension strategies. </w:t>
      </w:r>
      <w:r w:rsidRPr="001F2624">
        <w:rPr>
          <w:rFonts w:asciiTheme="majorBidi" w:hAnsiTheme="majorBidi" w:cstheme="majorBidi"/>
          <w:i/>
          <w:iCs/>
        </w:rPr>
        <w:t>Journal of Research in Applied Linguistics, 8</w:t>
      </w:r>
      <w:r w:rsidRPr="001F2624">
        <w:rPr>
          <w:rFonts w:asciiTheme="majorBidi" w:hAnsiTheme="majorBidi" w:cstheme="majorBidi"/>
        </w:rPr>
        <w:t>(1), 21-45.</w:t>
      </w:r>
    </w:p>
    <w:p w14:paraId="2CBF54E7" w14:textId="77777777" w:rsidR="00DD06B3" w:rsidRPr="001F2624" w:rsidRDefault="00DD06B3" w:rsidP="00ED690F">
      <w:pPr>
        <w:spacing w:after="0" w:line="240" w:lineRule="auto"/>
        <w:ind w:left="567" w:hanging="567"/>
        <w:rPr>
          <w:rFonts w:asciiTheme="majorBidi" w:hAnsiTheme="majorBidi" w:cstheme="majorBidi"/>
        </w:rPr>
      </w:pPr>
      <w:r w:rsidRPr="001F2624">
        <w:rPr>
          <w:rFonts w:asciiTheme="majorBidi" w:hAnsiTheme="majorBidi" w:cstheme="majorBidi"/>
        </w:rPr>
        <w:t>Ellis</w:t>
      </w:r>
      <w:r w:rsidR="004F2714" w:rsidRPr="001F2624">
        <w:rPr>
          <w:rFonts w:asciiTheme="majorBidi" w:hAnsiTheme="majorBidi" w:cstheme="majorBidi"/>
        </w:rPr>
        <w:t>, R.</w:t>
      </w:r>
      <w:r w:rsidRPr="001F2624">
        <w:rPr>
          <w:rFonts w:asciiTheme="majorBidi" w:hAnsiTheme="majorBidi" w:cstheme="majorBidi"/>
        </w:rPr>
        <w:t xml:space="preserve"> (2003)</w:t>
      </w:r>
      <w:r w:rsidR="004F2714" w:rsidRPr="001F2624">
        <w:rPr>
          <w:rFonts w:asciiTheme="majorBidi" w:hAnsiTheme="majorBidi" w:cstheme="majorBidi"/>
        </w:rPr>
        <w:t>. Task-based language learning and teaching. Oxford: OUP.</w:t>
      </w:r>
    </w:p>
    <w:p w14:paraId="4328F65D" w14:textId="77777777" w:rsidR="00DD06B3" w:rsidRPr="001F2624" w:rsidRDefault="00DD06B3" w:rsidP="00ED690F">
      <w:pPr>
        <w:spacing w:after="0" w:line="240" w:lineRule="auto"/>
        <w:ind w:left="567" w:hanging="567"/>
        <w:rPr>
          <w:rFonts w:asciiTheme="majorBidi" w:hAnsiTheme="majorBidi" w:cstheme="majorBidi"/>
        </w:rPr>
      </w:pPr>
      <w:r w:rsidRPr="001F2624">
        <w:rPr>
          <w:rFonts w:asciiTheme="majorBidi" w:hAnsiTheme="majorBidi" w:cstheme="majorBidi"/>
        </w:rPr>
        <w:t>Ellis</w:t>
      </w:r>
      <w:r w:rsidR="004F2714" w:rsidRPr="001F2624">
        <w:rPr>
          <w:rFonts w:asciiTheme="majorBidi" w:hAnsiTheme="majorBidi" w:cstheme="majorBidi"/>
        </w:rPr>
        <w:t>, R.</w:t>
      </w:r>
      <w:r w:rsidRPr="001F2624">
        <w:rPr>
          <w:rFonts w:asciiTheme="majorBidi" w:hAnsiTheme="majorBidi" w:cstheme="majorBidi"/>
        </w:rPr>
        <w:t xml:space="preserve"> (2009</w:t>
      </w:r>
      <w:r w:rsidR="004F2714" w:rsidRPr="001F2624">
        <w:rPr>
          <w:rFonts w:asciiTheme="majorBidi" w:hAnsiTheme="majorBidi" w:cstheme="majorBidi"/>
        </w:rPr>
        <w:t xml:space="preserve">). The differential effect of three types of task planning on fluency, complexity, and accuracy in L2 oral production. </w:t>
      </w:r>
      <w:r w:rsidR="004F2714" w:rsidRPr="001F2624">
        <w:rPr>
          <w:rFonts w:asciiTheme="majorBidi" w:hAnsiTheme="majorBidi" w:cstheme="majorBidi"/>
          <w:i/>
          <w:iCs/>
        </w:rPr>
        <w:t>Applied Linguistics, 30</w:t>
      </w:r>
      <w:r w:rsidR="004F2714" w:rsidRPr="001F2624">
        <w:rPr>
          <w:rFonts w:asciiTheme="majorBidi" w:hAnsiTheme="majorBidi" w:cstheme="majorBidi"/>
        </w:rPr>
        <w:t xml:space="preserve">, 474-509. </w:t>
      </w:r>
    </w:p>
    <w:p w14:paraId="15801C76" w14:textId="77777777" w:rsidR="00BD1899" w:rsidRPr="001F2624" w:rsidRDefault="00BD1899" w:rsidP="00ED690F">
      <w:pPr>
        <w:spacing w:after="0" w:line="240" w:lineRule="auto"/>
        <w:ind w:left="567" w:hanging="567"/>
        <w:rPr>
          <w:rFonts w:asciiTheme="majorBidi" w:hAnsiTheme="majorBidi" w:cstheme="majorBidi"/>
        </w:rPr>
      </w:pPr>
      <w:r w:rsidRPr="001F2624">
        <w:rPr>
          <w:rFonts w:asciiTheme="majorBidi" w:hAnsiTheme="majorBidi" w:cstheme="majorBidi"/>
        </w:rPr>
        <w:t xml:space="preserve">Flowerdew, J., &amp; Miller, L. (2005). </w:t>
      </w:r>
      <w:r w:rsidRPr="001F2624">
        <w:rPr>
          <w:rFonts w:asciiTheme="majorBidi" w:hAnsiTheme="majorBidi" w:cstheme="majorBidi"/>
          <w:i/>
          <w:iCs/>
        </w:rPr>
        <w:t>Second language listening: Theory and practice</w:t>
      </w:r>
      <w:r w:rsidRPr="001F2624">
        <w:rPr>
          <w:rFonts w:asciiTheme="majorBidi" w:hAnsiTheme="majorBidi" w:cstheme="majorBidi"/>
        </w:rPr>
        <w:t>. Cambridge: CUP.</w:t>
      </w:r>
    </w:p>
    <w:p w14:paraId="6ED0AA10" w14:textId="77777777" w:rsidR="00DD06B3" w:rsidRPr="001F2624" w:rsidRDefault="00DD06B3" w:rsidP="00ED690F">
      <w:pPr>
        <w:spacing w:after="0" w:line="240" w:lineRule="auto"/>
        <w:ind w:left="567" w:hanging="567"/>
        <w:rPr>
          <w:rFonts w:asciiTheme="majorBidi" w:eastAsiaTheme="minorEastAsia" w:hAnsiTheme="majorBidi" w:cstheme="majorBidi"/>
        </w:rPr>
      </w:pPr>
      <w:r w:rsidRPr="001F2624">
        <w:rPr>
          <w:rFonts w:asciiTheme="majorBidi" w:eastAsiaTheme="minorEastAsia" w:hAnsiTheme="majorBidi" w:cstheme="majorBidi"/>
        </w:rPr>
        <w:t>Foster</w:t>
      </w:r>
      <w:r w:rsidR="004F2714" w:rsidRPr="001F2624">
        <w:rPr>
          <w:rFonts w:asciiTheme="majorBidi" w:eastAsiaTheme="minorEastAsia" w:hAnsiTheme="majorBidi" w:cstheme="majorBidi"/>
        </w:rPr>
        <w:t>, P.,</w:t>
      </w:r>
      <w:r w:rsidR="00F20D4E">
        <w:rPr>
          <w:rFonts w:asciiTheme="majorBidi" w:eastAsiaTheme="minorEastAsia" w:hAnsiTheme="majorBidi" w:cstheme="majorBidi"/>
        </w:rPr>
        <w:t xml:space="preserve"> </w:t>
      </w:r>
      <w:r w:rsidRPr="001F2624">
        <w:rPr>
          <w:rFonts w:asciiTheme="majorBidi" w:eastAsiaTheme="minorEastAsia" w:hAnsiTheme="majorBidi" w:cstheme="majorBidi"/>
        </w:rPr>
        <w:t>&amp;</w:t>
      </w:r>
      <w:r w:rsidR="007A4CEC">
        <w:rPr>
          <w:rFonts w:asciiTheme="majorBidi" w:eastAsiaTheme="minorEastAsia" w:hAnsiTheme="majorBidi" w:cstheme="majorBidi"/>
        </w:rPr>
        <w:t xml:space="preserve"> </w:t>
      </w:r>
      <w:r w:rsidRPr="001F2624">
        <w:rPr>
          <w:rFonts w:asciiTheme="majorBidi" w:eastAsiaTheme="minorEastAsia" w:hAnsiTheme="majorBidi" w:cstheme="majorBidi"/>
        </w:rPr>
        <w:t>Skehan,</w:t>
      </w:r>
      <w:r w:rsidR="004F2714" w:rsidRPr="001F2624">
        <w:rPr>
          <w:rFonts w:asciiTheme="majorBidi" w:eastAsiaTheme="minorEastAsia" w:hAnsiTheme="majorBidi" w:cstheme="majorBidi"/>
        </w:rPr>
        <w:t xml:space="preserve"> </w:t>
      </w:r>
      <w:r w:rsidR="009B433F" w:rsidRPr="001F2624">
        <w:rPr>
          <w:rFonts w:asciiTheme="majorBidi" w:eastAsiaTheme="minorEastAsia" w:hAnsiTheme="majorBidi" w:cstheme="majorBidi"/>
        </w:rPr>
        <w:t>P. (</w:t>
      </w:r>
      <w:r w:rsidRPr="001F2624">
        <w:rPr>
          <w:rFonts w:asciiTheme="majorBidi" w:eastAsiaTheme="minorEastAsia" w:hAnsiTheme="majorBidi" w:cstheme="majorBidi"/>
        </w:rPr>
        <w:t>1996</w:t>
      </w:r>
      <w:r w:rsidR="004F2714" w:rsidRPr="001F2624">
        <w:rPr>
          <w:rFonts w:asciiTheme="majorBidi" w:eastAsiaTheme="minorEastAsia" w:hAnsiTheme="majorBidi" w:cstheme="majorBidi"/>
        </w:rPr>
        <w:t>). The influence of planning on performance in</w:t>
      </w:r>
      <w:r w:rsidR="00BD1899" w:rsidRPr="001F2624">
        <w:rPr>
          <w:rFonts w:asciiTheme="majorBidi" w:eastAsiaTheme="minorEastAsia" w:hAnsiTheme="majorBidi" w:cstheme="majorBidi"/>
        </w:rPr>
        <w:t xml:space="preserve"> task-based </w:t>
      </w:r>
      <w:r w:rsidR="004F2714" w:rsidRPr="001F2624">
        <w:rPr>
          <w:rFonts w:asciiTheme="majorBidi" w:eastAsiaTheme="minorEastAsia" w:hAnsiTheme="majorBidi" w:cstheme="majorBidi"/>
        </w:rPr>
        <w:t xml:space="preserve">learning. </w:t>
      </w:r>
      <w:r w:rsidR="004F2714" w:rsidRPr="001F2624">
        <w:rPr>
          <w:rFonts w:asciiTheme="majorBidi" w:eastAsiaTheme="minorEastAsia" w:hAnsiTheme="majorBidi" w:cstheme="majorBidi"/>
          <w:i/>
          <w:iCs/>
        </w:rPr>
        <w:t>Studies in Second Language Acquisition, 18</w:t>
      </w:r>
      <w:r w:rsidR="004F2714" w:rsidRPr="001F2624">
        <w:rPr>
          <w:rFonts w:asciiTheme="majorBidi" w:eastAsiaTheme="minorEastAsia" w:hAnsiTheme="majorBidi" w:cstheme="majorBidi"/>
        </w:rPr>
        <w:t>, 299-324.</w:t>
      </w:r>
    </w:p>
    <w:p w14:paraId="561927CA"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Goh, C. (2008). Metacognitive instruction for second language listening development theory, practice and research implications. </w:t>
      </w:r>
      <w:r w:rsidRPr="001F2624">
        <w:rPr>
          <w:rFonts w:asciiTheme="majorBidi" w:hAnsiTheme="majorBidi" w:cstheme="majorBidi"/>
          <w:i/>
          <w:iCs/>
        </w:rPr>
        <w:t>RELC Journal</w:t>
      </w:r>
      <w:r w:rsidRPr="001F2624">
        <w:rPr>
          <w:rFonts w:asciiTheme="majorBidi" w:hAnsiTheme="majorBidi" w:cstheme="majorBidi"/>
        </w:rPr>
        <w:t xml:space="preserve">, </w:t>
      </w:r>
      <w:r w:rsidRPr="001F2624">
        <w:rPr>
          <w:rFonts w:asciiTheme="majorBidi" w:hAnsiTheme="majorBidi" w:cstheme="majorBidi"/>
          <w:i/>
          <w:iCs/>
        </w:rPr>
        <w:t>39</w:t>
      </w:r>
      <w:r w:rsidR="00BD1899" w:rsidRPr="001F2624">
        <w:rPr>
          <w:rFonts w:asciiTheme="majorBidi" w:hAnsiTheme="majorBidi" w:cstheme="majorBidi"/>
        </w:rPr>
        <w:t>(2), 188-</w:t>
      </w:r>
      <w:r w:rsidRPr="001F2624">
        <w:rPr>
          <w:rFonts w:asciiTheme="majorBidi" w:hAnsiTheme="majorBidi" w:cstheme="majorBidi"/>
        </w:rPr>
        <w:t>213.</w:t>
      </w:r>
    </w:p>
    <w:p w14:paraId="1E185384"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Goh, C. (2010). Listening as process: Learning activities for self-appraisal and self-regulation. In N. Harwood (Ed.), </w:t>
      </w:r>
      <w:r w:rsidRPr="001F2624">
        <w:rPr>
          <w:rFonts w:asciiTheme="majorBidi" w:hAnsiTheme="majorBidi" w:cstheme="majorBidi"/>
          <w:i/>
          <w:iCs/>
        </w:rPr>
        <w:t>Materials in ELT: Theory and practice</w:t>
      </w:r>
      <w:r w:rsidR="00BD1899" w:rsidRPr="001F2624">
        <w:rPr>
          <w:rFonts w:asciiTheme="majorBidi" w:hAnsiTheme="majorBidi" w:cstheme="majorBidi"/>
        </w:rPr>
        <w:t xml:space="preserve"> (pp. 179-</w:t>
      </w:r>
      <w:r w:rsidRPr="001F2624">
        <w:rPr>
          <w:rFonts w:asciiTheme="majorBidi" w:hAnsiTheme="majorBidi" w:cstheme="majorBidi"/>
        </w:rPr>
        <w:t>206). Cambridge: CUP.</w:t>
      </w:r>
    </w:p>
    <w:p w14:paraId="2648AE58"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Graham, S., &amp;</w:t>
      </w:r>
      <w:r w:rsidR="00F20D4E">
        <w:rPr>
          <w:rFonts w:asciiTheme="majorBidi" w:hAnsiTheme="majorBidi" w:cstheme="majorBidi"/>
        </w:rPr>
        <w:t xml:space="preserve"> </w:t>
      </w:r>
      <w:r w:rsidRPr="001F2624">
        <w:rPr>
          <w:rFonts w:asciiTheme="majorBidi" w:hAnsiTheme="majorBidi" w:cstheme="majorBidi"/>
        </w:rPr>
        <w:t xml:space="preserve">Macaro, E. (2008). Strategy instruction in listening for lower-intermediate learners of French. </w:t>
      </w:r>
      <w:r w:rsidRPr="001F2624">
        <w:rPr>
          <w:rFonts w:asciiTheme="majorBidi" w:hAnsiTheme="majorBidi" w:cstheme="majorBidi"/>
          <w:i/>
          <w:iCs/>
        </w:rPr>
        <w:t>Language Learning, 58</w:t>
      </w:r>
      <w:r w:rsidRPr="001F2624">
        <w:rPr>
          <w:rFonts w:asciiTheme="majorBidi" w:hAnsiTheme="majorBidi" w:cstheme="majorBidi"/>
        </w:rPr>
        <w:t>, 747-783.</w:t>
      </w:r>
    </w:p>
    <w:p w14:paraId="4D553312"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Graham, S., Santos, D., &amp;</w:t>
      </w:r>
      <w:r w:rsidR="0054121A">
        <w:rPr>
          <w:rFonts w:asciiTheme="majorBidi" w:hAnsiTheme="majorBidi" w:cstheme="majorBidi"/>
        </w:rPr>
        <w:t xml:space="preserve"> </w:t>
      </w:r>
      <w:r w:rsidRPr="001F2624">
        <w:rPr>
          <w:rFonts w:asciiTheme="majorBidi" w:hAnsiTheme="majorBidi" w:cstheme="majorBidi"/>
        </w:rPr>
        <w:t>Vanderplank</w:t>
      </w:r>
      <w:r w:rsidR="0054121A">
        <w:rPr>
          <w:rFonts w:asciiTheme="majorBidi" w:hAnsiTheme="majorBidi" w:cstheme="majorBidi"/>
        </w:rPr>
        <w:t xml:space="preserve">, </w:t>
      </w:r>
      <w:r w:rsidRPr="001F2624">
        <w:rPr>
          <w:rFonts w:asciiTheme="majorBidi" w:hAnsiTheme="majorBidi" w:cstheme="majorBidi"/>
        </w:rPr>
        <w:t>R</w:t>
      </w:r>
      <w:r w:rsidR="0054121A">
        <w:rPr>
          <w:rFonts w:asciiTheme="majorBidi" w:hAnsiTheme="majorBidi" w:cstheme="majorBidi"/>
        </w:rPr>
        <w:t>.</w:t>
      </w:r>
      <w:r w:rsidRPr="001F2624">
        <w:rPr>
          <w:rFonts w:asciiTheme="majorBidi" w:hAnsiTheme="majorBidi" w:cstheme="majorBidi"/>
        </w:rPr>
        <w:t xml:space="preserve"> (2011). Exploring the relationship between listening development and strategy use, </w:t>
      </w:r>
      <w:r w:rsidRPr="001F2624">
        <w:rPr>
          <w:rFonts w:asciiTheme="majorBidi" w:hAnsiTheme="majorBidi" w:cstheme="majorBidi"/>
          <w:i/>
          <w:iCs/>
        </w:rPr>
        <w:t>Language Teaching Research 15</w:t>
      </w:r>
      <w:r w:rsidRPr="001F2624">
        <w:rPr>
          <w:rFonts w:asciiTheme="majorBidi" w:hAnsiTheme="majorBidi" w:cstheme="majorBidi"/>
        </w:rPr>
        <w:t>(4), 435-456.</w:t>
      </w:r>
    </w:p>
    <w:p w14:paraId="58950FDB" w14:textId="77777777" w:rsidR="00DD06B3" w:rsidRPr="001F2624" w:rsidRDefault="00DD06B3" w:rsidP="00ED690F">
      <w:pPr>
        <w:spacing w:after="0" w:line="240" w:lineRule="auto"/>
        <w:ind w:left="567" w:hanging="567"/>
        <w:jc w:val="both"/>
        <w:rPr>
          <w:rStyle w:val="il"/>
          <w:rFonts w:asciiTheme="majorBidi" w:hAnsiTheme="majorBidi" w:cstheme="majorBidi"/>
        </w:rPr>
      </w:pPr>
      <w:r w:rsidRPr="001F2624">
        <w:rPr>
          <w:rFonts w:asciiTheme="majorBidi" w:hAnsiTheme="majorBidi" w:cstheme="majorBidi"/>
          <w:shd w:val="clear" w:color="auto" w:fill="FFFFFF"/>
        </w:rPr>
        <w:t xml:space="preserve">Guan, Y. (2014). </w:t>
      </w:r>
      <w:r w:rsidRPr="001F2624">
        <w:rPr>
          <w:rFonts w:asciiTheme="majorBidi" w:hAnsiTheme="majorBidi" w:cstheme="majorBidi"/>
          <w:i/>
          <w:iCs/>
          <w:shd w:val="clear" w:color="auto" w:fill="FFFFFF"/>
        </w:rPr>
        <w:t>The Effects of Explicit Listening Strategy Instruction on the Listening Comprehension of English as Second Language (ESL) Community College Students</w:t>
      </w:r>
      <w:r w:rsidRPr="001F2624">
        <w:rPr>
          <w:rFonts w:asciiTheme="majorBidi" w:hAnsiTheme="majorBidi" w:cstheme="majorBidi"/>
          <w:shd w:val="clear" w:color="auto" w:fill="FFFFFF"/>
        </w:rPr>
        <w:t xml:space="preserve">. </w:t>
      </w:r>
      <w:r w:rsidRPr="001F2624">
        <w:rPr>
          <w:rStyle w:val="Emphasis"/>
          <w:rFonts w:asciiTheme="majorBidi" w:hAnsiTheme="majorBidi" w:cstheme="majorBidi"/>
          <w:i w:val="0"/>
          <w:iCs w:val="0"/>
          <w:bdr w:val="none" w:sz="0" w:space="0" w:color="auto" w:frame="1"/>
          <w:shd w:val="clear" w:color="auto" w:fill="FFFFFF"/>
        </w:rPr>
        <w:t>Doctoral Dissertati</w:t>
      </w:r>
      <w:r w:rsidR="00BD1899" w:rsidRPr="001F2624">
        <w:rPr>
          <w:rStyle w:val="Emphasis"/>
          <w:rFonts w:asciiTheme="majorBidi" w:hAnsiTheme="majorBidi" w:cstheme="majorBidi"/>
          <w:i w:val="0"/>
          <w:iCs w:val="0"/>
          <w:bdr w:val="none" w:sz="0" w:space="0" w:color="auto" w:frame="1"/>
          <w:shd w:val="clear" w:color="auto" w:fill="FFFFFF"/>
        </w:rPr>
        <w:t>on</w:t>
      </w:r>
      <w:r w:rsidRPr="001F2624">
        <w:rPr>
          <w:rFonts w:asciiTheme="majorBidi" w:hAnsiTheme="majorBidi" w:cstheme="majorBidi"/>
          <w:shd w:val="clear" w:color="auto" w:fill="FFFFFF"/>
        </w:rPr>
        <w:t xml:space="preserve"> University of San Francisco, USA. Retrieved from</w:t>
      </w:r>
      <w:r w:rsidRPr="001F2624">
        <w:rPr>
          <w:rFonts w:asciiTheme="majorBidi" w:hAnsiTheme="majorBidi" w:cstheme="majorBidi"/>
        </w:rPr>
        <w:br/>
      </w:r>
      <w:r w:rsidRPr="001F2624">
        <w:rPr>
          <w:rFonts w:asciiTheme="majorBidi" w:hAnsiTheme="majorBidi" w:cstheme="majorBidi"/>
          <w:shd w:val="clear" w:color="auto" w:fill="FFFFFF"/>
        </w:rPr>
        <w:t>https://repository.usfca.edu/diss/93</w:t>
      </w:r>
    </w:p>
    <w:p w14:paraId="698E27FC"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Style w:val="il"/>
          <w:rFonts w:asciiTheme="majorBidi" w:hAnsiTheme="majorBidi" w:cstheme="majorBidi"/>
          <w:shd w:val="clear" w:color="auto" w:fill="FFFFFF"/>
        </w:rPr>
        <w:t>Hassan</w:t>
      </w:r>
      <w:r w:rsidR="00BD1899" w:rsidRPr="001F2624">
        <w:rPr>
          <w:rFonts w:asciiTheme="majorBidi" w:hAnsiTheme="majorBidi" w:cstheme="majorBidi"/>
          <w:shd w:val="clear" w:color="auto" w:fill="FFFFFF"/>
        </w:rPr>
        <w:t>, X., Macaro, E., Mason, D., Nye, G.,</w:t>
      </w:r>
      <w:r w:rsidRPr="001F2624">
        <w:rPr>
          <w:rFonts w:asciiTheme="majorBidi" w:hAnsiTheme="majorBidi" w:cstheme="majorBidi"/>
          <w:shd w:val="clear" w:color="auto" w:fill="FFFFFF"/>
        </w:rPr>
        <w:t xml:space="preserve"> Smith, P.</w:t>
      </w:r>
      <w:r w:rsidR="00BD1899" w:rsidRPr="001F2624">
        <w:rPr>
          <w:rFonts w:asciiTheme="majorBidi" w:hAnsiTheme="majorBidi" w:cstheme="majorBidi"/>
          <w:shd w:val="clear" w:color="auto" w:fill="FFFFFF"/>
        </w:rPr>
        <w:t>, &amp;</w:t>
      </w:r>
      <w:r w:rsidRPr="001F2624">
        <w:rPr>
          <w:rFonts w:asciiTheme="majorBidi" w:hAnsiTheme="majorBidi" w:cstheme="majorBidi"/>
          <w:shd w:val="clear" w:color="auto" w:fill="FFFFFF"/>
        </w:rPr>
        <w:t xml:space="preserve"> Vanderplank, R. (2005). </w:t>
      </w:r>
      <w:hyperlink r:id="rId10" w:tgtFrame="_blank" w:history="1">
        <w:r w:rsidRPr="001F2624">
          <w:rPr>
            <w:rStyle w:val="Emphasis"/>
            <w:rFonts w:asciiTheme="majorBidi" w:hAnsiTheme="majorBidi" w:cstheme="majorBidi"/>
            <w:shd w:val="clear" w:color="auto" w:fill="FFFFFF"/>
          </w:rPr>
          <w:t>Strategy training in language learning - A systematic review of available research.</w:t>
        </w:r>
      </w:hyperlink>
      <w:r w:rsidRPr="001F2624">
        <w:rPr>
          <w:rFonts w:asciiTheme="majorBidi" w:hAnsiTheme="majorBidi" w:cstheme="majorBidi"/>
          <w:shd w:val="clear" w:color="auto" w:fill="FFFFFF"/>
        </w:rPr>
        <w:t> EPPI-Centre, Social Science Research Unit, Institute of Education, University of London, London.</w:t>
      </w:r>
    </w:p>
    <w:p w14:paraId="0DA0F02D"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Lai, C., &amp; Lin, X. (2015). Strategy training in a task-based language classroom. </w:t>
      </w:r>
      <w:r w:rsidRPr="001F2624">
        <w:rPr>
          <w:rFonts w:asciiTheme="majorBidi" w:hAnsiTheme="majorBidi" w:cstheme="majorBidi"/>
          <w:i/>
          <w:iCs/>
        </w:rPr>
        <w:t>The Language Learning Journal, 43</w:t>
      </w:r>
      <w:r w:rsidR="00BD1899" w:rsidRPr="001F2624">
        <w:rPr>
          <w:rFonts w:asciiTheme="majorBidi" w:hAnsiTheme="majorBidi" w:cstheme="majorBidi"/>
        </w:rPr>
        <w:t>(1),</w:t>
      </w:r>
      <w:r w:rsidRPr="001F2624">
        <w:rPr>
          <w:rFonts w:asciiTheme="majorBidi" w:hAnsiTheme="majorBidi" w:cstheme="majorBidi"/>
        </w:rPr>
        <w:t xml:space="preserve"> 1-22.</w:t>
      </w:r>
    </w:p>
    <w:p w14:paraId="722AAAF6"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Liem, G. A. D., &amp; Martin, A. J. (2013). Direct instruction and academic achievement. In J. Hattie &amp; E. Anderman (Eds.), </w:t>
      </w:r>
      <w:r w:rsidRPr="001F2624">
        <w:rPr>
          <w:rFonts w:asciiTheme="majorBidi" w:hAnsiTheme="majorBidi" w:cstheme="majorBidi"/>
          <w:i/>
          <w:iCs/>
        </w:rPr>
        <w:t xml:space="preserve">International guide to student achievement </w:t>
      </w:r>
      <w:r w:rsidRPr="001F2624">
        <w:rPr>
          <w:rFonts w:asciiTheme="majorBidi" w:hAnsiTheme="majorBidi" w:cstheme="majorBidi"/>
        </w:rPr>
        <w:t>(pp.366-369). New York: Taylor &amp; Francis.</w:t>
      </w:r>
    </w:p>
    <w:p w14:paraId="69ED9D8B"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Lye, S. E., &amp; Goh, L. H. (2016). </w:t>
      </w:r>
      <w:r w:rsidRPr="001F2624">
        <w:rPr>
          <w:rFonts w:asciiTheme="majorBidi" w:hAnsiTheme="majorBidi" w:cstheme="majorBidi"/>
          <w:i/>
          <w:iCs/>
        </w:rPr>
        <w:t>Metacognitive strategy instruction and IELTS listening performance: A comparison between using MPS and CALLA instruction models</w:t>
      </w:r>
      <w:r w:rsidRPr="001F2624">
        <w:rPr>
          <w:rFonts w:asciiTheme="majorBidi" w:hAnsiTheme="majorBidi" w:cstheme="majorBidi"/>
        </w:rPr>
        <w:t>. Second Asia Pacific conference on contemporary research. Malaysia.</w:t>
      </w:r>
    </w:p>
    <w:p w14:paraId="5BC1D934"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Nasrollahi-Mouziraji, A., &amp;</w:t>
      </w:r>
      <w:r w:rsidR="0054121A">
        <w:rPr>
          <w:rFonts w:asciiTheme="majorBidi" w:hAnsiTheme="majorBidi" w:cstheme="majorBidi"/>
        </w:rPr>
        <w:t xml:space="preserve"> </w:t>
      </w:r>
      <w:r w:rsidRPr="001F2624">
        <w:rPr>
          <w:rFonts w:asciiTheme="majorBidi" w:hAnsiTheme="majorBidi" w:cstheme="majorBidi"/>
        </w:rPr>
        <w:t xml:space="preserve">Birjandi, P. (2017). Motivational beliefs, self-regulation and EFL listening achievement: A path analysis. </w:t>
      </w:r>
      <w:r w:rsidRPr="001F2624">
        <w:rPr>
          <w:rFonts w:asciiTheme="majorBidi" w:hAnsiTheme="majorBidi" w:cstheme="majorBidi"/>
          <w:i/>
          <w:iCs/>
        </w:rPr>
        <w:t>Journal of Teaching Language Skills, 35</w:t>
      </w:r>
      <w:r w:rsidRPr="001F2624">
        <w:rPr>
          <w:rFonts w:asciiTheme="majorBidi" w:hAnsiTheme="majorBidi" w:cstheme="majorBidi"/>
        </w:rPr>
        <w:t>(3), 91-118.</w:t>
      </w:r>
    </w:p>
    <w:p w14:paraId="36B67576"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National Capital Language Resource Center (NCLRC). (2004). </w:t>
      </w:r>
      <w:r w:rsidRPr="001F2624">
        <w:rPr>
          <w:rFonts w:asciiTheme="majorBidi" w:hAnsiTheme="majorBidi" w:cstheme="majorBidi"/>
          <w:i/>
          <w:iCs/>
        </w:rPr>
        <w:t xml:space="preserve">The essentials of language teaching: Strategies for developing listening skills. </w:t>
      </w:r>
      <w:r w:rsidRPr="001F2624">
        <w:rPr>
          <w:rFonts w:asciiTheme="majorBidi" w:hAnsiTheme="majorBidi" w:cstheme="majorBidi"/>
        </w:rPr>
        <w:t>Washington, DC: National Capital Language Resource Center.</w:t>
      </w:r>
    </w:p>
    <w:p w14:paraId="10C4F3FB" w14:textId="77777777" w:rsidR="001C6FD7" w:rsidRPr="001F2624" w:rsidRDefault="00BD1899" w:rsidP="00ED690F">
      <w:pPr>
        <w:autoSpaceDE w:val="0"/>
        <w:autoSpaceDN w:val="0"/>
        <w:adjustRightInd w:val="0"/>
        <w:spacing w:after="0" w:line="240" w:lineRule="auto"/>
        <w:ind w:left="567" w:hanging="567"/>
        <w:jc w:val="both"/>
        <w:rPr>
          <w:rFonts w:asciiTheme="majorBidi" w:eastAsiaTheme="minorEastAsia" w:hAnsiTheme="majorBidi" w:cstheme="majorBidi"/>
        </w:rPr>
      </w:pPr>
      <w:r w:rsidRPr="001F2624">
        <w:rPr>
          <w:rFonts w:asciiTheme="majorBidi" w:eastAsiaTheme="minorEastAsia" w:hAnsiTheme="majorBidi" w:cstheme="majorBidi"/>
        </w:rPr>
        <w:t>Norris,</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J.</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M.</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(2011).</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Tasked-based</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teaching</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and</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testing.</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In</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Long</w:t>
      </w:r>
      <w:r w:rsidR="001C6FD7" w:rsidRPr="001F2624">
        <w:rPr>
          <w:rFonts w:asciiTheme="majorBidi" w:eastAsiaTheme="minorEastAsia" w:hAnsiTheme="majorBidi" w:cstheme="majorBidi"/>
        </w:rPr>
        <w:t xml:space="preserve"> M. H. &amp; </w:t>
      </w:r>
      <w:r w:rsidRPr="001F2624">
        <w:rPr>
          <w:rFonts w:asciiTheme="majorBidi" w:eastAsiaTheme="minorEastAsia" w:hAnsiTheme="majorBidi" w:cstheme="majorBidi"/>
        </w:rPr>
        <w:t>Doughty</w:t>
      </w:r>
      <w:r w:rsidR="001C6FD7" w:rsidRPr="001F2624">
        <w:rPr>
          <w:rFonts w:asciiTheme="majorBidi" w:eastAsiaTheme="minorEastAsia" w:hAnsiTheme="majorBidi" w:cstheme="majorBidi"/>
        </w:rPr>
        <w:t xml:space="preserve"> C. J. </w:t>
      </w:r>
      <w:r w:rsidRPr="001F2624">
        <w:rPr>
          <w:rFonts w:asciiTheme="majorBidi" w:eastAsiaTheme="minorEastAsia" w:hAnsiTheme="majorBidi" w:cstheme="majorBidi"/>
        </w:rPr>
        <w:t xml:space="preserve">(Eds.), </w:t>
      </w:r>
      <w:r w:rsidRPr="001F2624">
        <w:rPr>
          <w:rFonts w:asciiTheme="majorBidi" w:eastAsiaTheme="minorEastAsia" w:hAnsiTheme="majorBidi" w:cstheme="majorBidi"/>
          <w:i/>
          <w:iCs/>
        </w:rPr>
        <w:t>The</w:t>
      </w:r>
      <w:r w:rsidR="001C6FD7" w:rsidRPr="001F2624">
        <w:rPr>
          <w:rFonts w:asciiTheme="majorBidi" w:eastAsiaTheme="minorEastAsia" w:hAnsiTheme="majorBidi" w:cstheme="majorBidi"/>
          <w:i/>
          <w:iCs/>
        </w:rPr>
        <w:t xml:space="preserve"> </w:t>
      </w:r>
      <w:r w:rsidRPr="001F2624">
        <w:rPr>
          <w:rFonts w:asciiTheme="majorBidi" w:eastAsiaTheme="minorEastAsia" w:hAnsiTheme="majorBidi" w:cstheme="majorBidi"/>
          <w:i/>
          <w:iCs/>
        </w:rPr>
        <w:t>handbook</w:t>
      </w:r>
      <w:r w:rsidR="001C6FD7" w:rsidRPr="001F2624">
        <w:rPr>
          <w:rFonts w:asciiTheme="majorBidi" w:eastAsiaTheme="minorEastAsia" w:hAnsiTheme="majorBidi" w:cstheme="majorBidi"/>
          <w:i/>
          <w:iCs/>
        </w:rPr>
        <w:t xml:space="preserve"> </w:t>
      </w:r>
      <w:r w:rsidRPr="001F2624">
        <w:rPr>
          <w:rFonts w:asciiTheme="majorBidi" w:eastAsiaTheme="minorEastAsia" w:hAnsiTheme="majorBidi" w:cstheme="majorBidi"/>
          <w:i/>
          <w:iCs/>
        </w:rPr>
        <w:t>of</w:t>
      </w:r>
      <w:r w:rsidR="001C6FD7" w:rsidRPr="001F2624">
        <w:rPr>
          <w:rFonts w:asciiTheme="majorBidi" w:eastAsiaTheme="minorEastAsia" w:hAnsiTheme="majorBidi" w:cstheme="majorBidi"/>
          <w:i/>
          <w:iCs/>
        </w:rPr>
        <w:t xml:space="preserve"> </w:t>
      </w:r>
      <w:r w:rsidRPr="001F2624">
        <w:rPr>
          <w:rFonts w:asciiTheme="majorBidi" w:eastAsiaTheme="minorEastAsia" w:hAnsiTheme="majorBidi" w:cstheme="majorBidi"/>
          <w:i/>
          <w:iCs/>
        </w:rPr>
        <w:t>language</w:t>
      </w:r>
      <w:r w:rsidR="001C6FD7" w:rsidRPr="001F2624">
        <w:rPr>
          <w:rFonts w:asciiTheme="majorBidi" w:eastAsiaTheme="minorEastAsia" w:hAnsiTheme="majorBidi" w:cstheme="majorBidi"/>
          <w:i/>
          <w:iCs/>
        </w:rPr>
        <w:t xml:space="preserve"> teaching</w:t>
      </w:r>
      <w:r w:rsidR="001C6FD7" w:rsidRPr="001F2624">
        <w:rPr>
          <w:rFonts w:asciiTheme="majorBidi" w:eastAsiaTheme="minorEastAsia" w:hAnsiTheme="majorBidi" w:cstheme="majorBidi"/>
        </w:rPr>
        <w:t xml:space="preserve"> (pp.578-</w:t>
      </w:r>
      <w:r w:rsidRPr="001F2624">
        <w:rPr>
          <w:rFonts w:asciiTheme="majorBidi" w:eastAsiaTheme="minorEastAsia" w:hAnsiTheme="majorBidi" w:cstheme="majorBidi"/>
        </w:rPr>
        <w:t>594).</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Malden,</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MA:</w:t>
      </w:r>
      <w:r w:rsidR="001C6FD7" w:rsidRPr="001F2624">
        <w:rPr>
          <w:rFonts w:asciiTheme="majorBidi" w:eastAsiaTheme="minorEastAsia" w:hAnsiTheme="majorBidi" w:cstheme="majorBidi"/>
        </w:rPr>
        <w:t xml:space="preserve"> </w:t>
      </w:r>
      <w:r w:rsidRPr="001F2624">
        <w:rPr>
          <w:rFonts w:asciiTheme="majorBidi" w:eastAsiaTheme="minorEastAsia" w:hAnsiTheme="majorBidi" w:cstheme="majorBidi"/>
        </w:rPr>
        <w:t>Wiley-Blackwell.</w:t>
      </w:r>
    </w:p>
    <w:p w14:paraId="6ED09BED"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O’Malley, J. M., &amp;</w:t>
      </w:r>
      <w:r w:rsidR="0054121A">
        <w:rPr>
          <w:rFonts w:asciiTheme="majorBidi" w:hAnsiTheme="majorBidi" w:cstheme="majorBidi"/>
        </w:rPr>
        <w:t xml:space="preserve"> </w:t>
      </w:r>
      <w:r w:rsidRPr="001F2624">
        <w:rPr>
          <w:rFonts w:asciiTheme="majorBidi" w:hAnsiTheme="majorBidi" w:cstheme="majorBidi"/>
        </w:rPr>
        <w:t xml:space="preserve">Chamot, A. U. (1990). </w:t>
      </w:r>
      <w:r w:rsidRPr="001F2624">
        <w:rPr>
          <w:rFonts w:asciiTheme="majorBidi" w:hAnsiTheme="majorBidi" w:cstheme="majorBidi"/>
          <w:i/>
          <w:iCs/>
        </w:rPr>
        <w:t xml:space="preserve">Learning strategies in second languageacquisition. </w:t>
      </w:r>
      <w:r w:rsidRPr="001F2624">
        <w:rPr>
          <w:rFonts w:asciiTheme="majorBidi" w:hAnsiTheme="majorBidi" w:cstheme="majorBidi"/>
        </w:rPr>
        <w:t>New York, NY: Cambridge University Press.</w:t>
      </w:r>
      <w:r w:rsidRPr="001F2624">
        <w:rPr>
          <w:rFonts w:asciiTheme="majorBidi" w:hAnsiTheme="majorBidi" w:cstheme="majorBidi"/>
        </w:rPr>
        <w:tab/>
      </w:r>
    </w:p>
    <w:p w14:paraId="53FAD8B2" w14:textId="77777777" w:rsidR="00297367" w:rsidRPr="001F2624" w:rsidRDefault="00297367" w:rsidP="00ED690F">
      <w:pPr>
        <w:spacing w:after="0" w:line="240" w:lineRule="auto"/>
        <w:ind w:left="426" w:hanging="426"/>
        <w:rPr>
          <w:rFonts w:asciiTheme="majorBidi" w:hAnsiTheme="majorBidi" w:cstheme="majorBidi"/>
          <w:color w:val="000000"/>
          <w:shd w:val="clear" w:color="auto" w:fill="FFFFFF"/>
        </w:rPr>
      </w:pPr>
      <w:r w:rsidRPr="001F2624">
        <w:rPr>
          <w:rFonts w:asciiTheme="majorBidi" w:hAnsiTheme="majorBidi" w:cstheme="majorBidi"/>
          <w:color w:val="000000"/>
          <w:shd w:val="clear" w:color="auto" w:fill="FFFFFF"/>
        </w:rPr>
        <w:t xml:space="preserve">Oxford, R. L. (2017). </w:t>
      </w:r>
      <w:r w:rsidRPr="001F2624">
        <w:rPr>
          <w:rFonts w:asciiTheme="majorBidi" w:hAnsiTheme="majorBidi" w:cstheme="majorBidi"/>
          <w:i/>
          <w:iCs/>
          <w:color w:val="000000"/>
          <w:shd w:val="clear" w:color="auto" w:fill="FFFFFF"/>
        </w:rPr>
        <w:t>Teaching and researching language learning strategies: Self-regulation in context (2</w:t>
      </w:r>
      <w:r w:rsidRPr="001F2624">
        <w:rPr>
          <w:rFonts w:asciiTheme="majorBidi" w:hAnsiTheme="majorBidi" w:cstheme="majorBidi"/>
          <w:i/>
          <w:iCs/>
          <w:color w:val="000000"/>
          <w:shd w:val="clear" w:color="auto" w:fill="FFFFFF"/>
          <w:vertAlign w:val="superscript"/>
        </w:rPr>
        <w:t>nd</w:t>
      </w:r>
      <w:r w:rsidRPr="001F2624">
        <w:rPr>
          <w:rFonts w:asciiTheme="majorBidi" w:hAnsiTheme="majorBidi" w:cstheme="majorBidi"/>
          <w:i/>
          <w:iCs/>
          <w:color w:val="000000"/>
          <w:shd w:val="clear" w:color="auto" w:fill="FFFFFF"/>
        </w:rPr>
        <w:t xml:space="preserve"> ed.)</w:t>
      </w:r>
      <w:r w:rsidRPr="001F2624">
        <w:rPr>
          <w:rFonts w:asciiTheme="majorBidi" w:hAnsiTheme="majorBidi" w:cstheme="majorBidi"/>
          <w:color w:val="000000"/>
          <w:shd w:val="clear" w:color="auto" w:fill="FFFFFF"/>
        </w:rPr>
        <w:t xml:space="preserve">. New York: Routledge. </w:t>
      </w:r>
    </w:p>
    <w:p w14:paraId="5957F968"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Pintrich, P. R., &amp; De Groot, </w:t>
      </w:r>
      <w:bookmarkStart w:id="0" w:name="_GoBack"/>
      <w:bookmarkEnd w:id="0"/>
      <w:r w:rsidRPr="001F2624">
        <w:rPr>
          <w:rFonts w:asciiTheme="majorBidi" w:hAnsiTheme="majorBidi" w:cstheme="majorBidi"/>
        </w:rPr>
        <w:t xml:space="preserve">E. (1990). Motivational and self-regulated learning components of classroom academic performance. </w:t>
      </w:r>
      <w:r w:rsidRPr="001F2624">
        <w:rPr>
          <w:rFonts w:asciiTheme="majorBidi" w:hAnsiTheme="majorBidi" w:cstheme="majorBidi"/>
          <w:i/>
          <w:iCs/>
        </w:rPr>
        <w:t>Journal of Educational Psychology, 82</w:t>
      </w:r>
      <w:r w:rsidRPr="001F2624">
        <w:rPr>
          <w:rFonts w:asciiTheme="majorBidi" w:hAnsiTheme="majorBidi" w:cstheme="majorBidi"/>
        </w:rPr>
        <w:t>, 33-40.</w:t>
      </w:r>
    </w:p>
    <w:p w14:paraId="1F07F555" w14:textId="77777777" w:rsidR="00DD06B3" w:rsidRPr="001F2624" w:rsidRDefault="00DD06B3" w:rsidP="00ED690F">
      <w:pPr>
        <w:spacing w:after="0" w:line="240" w:lineRule="auto"/>
        <w:ind w:left="567" w:hanging="567"/>
        <w:jc w:val="both"/>
        <w:rPr>
          <w:rFonts w:asciiTheme="majorBidi" w:hAnsiTheme="majorBidi" w:cstheme="majorBidi"/>
          <w:shd w:val="clear" w:color="auto" w:fill="FFFFFF"/>
        </w:rPr>
      </w:pPr>
      <w:r w:rsidRPr="001F2624">
        <w:rPr>
          <w:rFonts w:asciiTheme="majorBidi" w:hAnsiTheme="majorBidi" w:cstheme="majorBidi"/>
          <w:shd w:val="clear" w:color="auto" w:fill="FFFFFF"/>
        </w:rPr>
        <w:lastRenderedPageBreak/>
        <w:t>Pintrich, P. R., Smith, D., Garcia, T., &amp;</w:t>
      </w:r>
      <w:r w:rsidR="001A18EF">
        <w:rPr>
          <w:rFonts w:asciiTheme="majorBidi" w:hAnsiTheme="majorBidi" w:cstheme="majorBidi"/>
          <w:shd w:val="clear" w:color="auto" w:fill="FFFFFF"/>
        </w:rPr>
        <w:t xml:space="preserve"> </w:t>
      </w:r>
      <w:r w:rsidRPr="001F2624">
        <w:rPr>
          <w:rFonts w:asciiTheme="majorBidi" w:hAnsiTheme="majorBidi" w:cstheme="majorBidi"/>
          <w:shd w:val="clear" w:color="auto" w:fill="FFFFFF"/>
        </w:rPr>
        <w:t xml:space="preserve">McKeachie, W. (1991). </w:t>
      </w:r>
      <w:r w:rsidRPr="001F2624">
        <w:rPr>
          <w:rFonts w:asciiTheme="majorBidi" w:hAnsiTheme="majorBidi" w:cstheme="majorBidi"/>
          <w:i/>
          <w:iCs/>
          <w:shd w:val="clear" w:color="auto" w:fill="FFFFFF"/>
        </w:rPr>
        <w:t xml:space="preserve">A manual for the use of the </w:t>
      </w:r>
      <w:r w:rsidRPr="001F2624">
        <w:rPr>
          <w:rFonts w:asciiTheme="majorBidi" w:hAnsiTheme="majorBidi" w:cstheme="majorBidi"/>
          <w:i/>
          <w:iCs/>
          <w:shd w:val="clear" w:color="auto" w:fill="FFFFFF"/>
        </w:rPr>
        <w:tab/>
        <w:t>motivated strategies for learning questionnaire (MSLQ)</w:t>
      </w:r>
      <w:r w:rsidRPr="001F2624">
        <w:rPr>
          <w:rFonts w:asciiTheme="majorBidi" w:hAnsiTheme="majorBidi" w:cstheme="majorBidi"/>
          <w:shd w:val="clear" w:color="auto" w:fill="FFFFFF"/>
        </w:rPr>
        <w:t xml:space="preserve">. The University of Michigan, </w:t>
      </w:r>
      <w:r w:rsidRPr="001F2624">
        <w:rPr>
          <w:rFonts w:asciiTheme="majorBidi" w:hAnsiTheme="majorBidi" w:cstheme="majorBidi"/>
          <w:shd w:val="clear" w:color="auto" w:fill="FFFFFF"/>
        </w:rPr>
        <w:tab/>
        <w:t>Ann Arbor, MI.</w:t>
      </w:r>
    </w:p>
    <w:p w14:paraId="0F5B7C99"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shd w:val="clear" w:color="auto" w:fill="FFFFFF"/>
        </w:rPr>
      </w:pPr>
      <w:r w:rsidRPr="001F2624">
        <w:rPr>
          <w:rFonts w:asciiTheme="majorBidi" w:hAnsiTheme="majorBidi" w:cstheme="majorBidi"/>
          <w:shd w:val="clear" w:color="auto" w:fill="FFFFFF"/>
        </w:rPr>
        <w:t xml:space="preserve">Richards, J. C. (2015). Introduction to teachers’ perspectives on </w:t>
      </w:r>
      <w:r w:rsidR="009B433F" w:rsidRPr="001F2624">
        <w:rPr>
          <w:rFonts w:asciiTheme="majorBidi" w:hAnsiTheme="majorBidi" w:cstheme="majorBidi"/>
          <w:shd w:val="clear" w:color="auto" w:fill="FFFFFF"/>
        </w:rPr>
        <w:t>task-based</w:t>
      </w:r>
      <w:r w:rsidRPr="001F2624">
        <w:rPr>
          <w:rFonts w:asciiTheme="majorBidi" w:hAnsiTheme="majorBidi" w:cstheme="majorBidi"/>
          <w:shd w:val="clear" w:color="auto" w:fill="FFFFFF"/>
        </w:rPr>
        <w:t xml:space="preserve"> language teaching. In Thomas, M. &amp;</w:t>
      </w:r>
      <w:r w:rsidR="001C6FD7" w:rsidRPr="001F2624">
        <w:rPr>
          <w:rFonts w:asciiTheme="majorBidi" w:hAnsiTheme="majorBidi" w:cstheme="majorBidi"/>
          <w:shd w:val="clear" w:color="auto" w:fill="FFFFFF"/>
        </w:rPr>
        <w:t xml:space="preserve"> </w:t>
      </w:r>
      <w:r w:rsidRPr="001F2624">
        <w:rPr>
          <w:rFonts w:asciiTheme="majorBidi" w:hAnsiTheme="majorBidi" w:cstheme="majorBidi"/>
          <w:shd w:val="clear" w:color="auto" w:fill="FFFFFF"/>
        </w:rPr>
        <w:t>Reinders H. (Eds.), </w:t>
      </w:r>
      <w:r w:rsidRPr="001F2624">
        <w:rPr>
          <w:rStyle w:val="Emphasis"/>
          <w:rFonts w:asciiTheme="majorBidi" w:hAnsiTheme="majorBidi" w:cstheme="majorBidi"/>
          <w:shd w:val="clear" w:color="auto" w:fill="FFFFFF"/>
        </w:rPr>
        <w:t>Contemporary Task-Based Language Teaching in Asia</w:t>
      </w:r>
      <w:r w:rsidRPr="001F2624">
        <w:rPr>
          <w:rFonts w:asciiTheme="majorBidi" w:hAnsiTheme="majorBidi" w:cstheme="majorBidi"/>
          <w:shd w:val="clear" w:color="auto" w:fill="FFFFFF"/>
        </w:rPr>
        <w:t xml:space="preserve"> (pp.137-138) London: Bloomsbury.</w:t>
      </w:r>
    </w:p>
    <w:p w14:paraId="43C7AE55"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Schmidt, R. (1995). </w:t>
      </w:r>
      <w:r w:rsidRPr="001F2624">
        <w:rPr>
          <w:rFonts w:asciiTheme="majorBidi" w:hAnsiTheme="majorBidi" w:cstheme="majorBidi"/>
          <w:i/>
          <w:iCs/>
        </w:rPr>
        <w:t>Attention and awareness in foreign language learning</w:t>
      </w:r>
      <w:r w:rsidRPr="001F2624">
        <w:rPr>
          <w:rFonts w:asciiTheme="majorBidi" w:hAnsiTheme="majorBidi" w:cstheme="majorBidi"/>
        </w:rPr>
        <w:t xml:space="preserve">. Honolulu, HI: Second Language Teaching and Curriculum Center, University of Hawai’i. </w:t>
      </w:r>
    </w:p>
    <w:p w14:paraId="5E77C7EC"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Segalowitz, N. (2007). Access fluidity, attention control, and the acquisition of fluency in a second language. </w:t>
      </w:r>
      <w:r w:rsidRPr="001F2624">
        <w:rPr>
          <w:rFonts w:asciiTheme="majorBidi" w:hAnsiTheme="majorBidi" w:cstheme="majorBidi"/>
          <w:i/>
          <w:iCs/>
        </w:rPr>
        <w:t>TESOL Quarterly, 41</w:t>
      </w:r>
      <w:r w:rsidRPr="001F2624">
        <w:rPr>
          <w:rFonts w:asciiTheme="majorBidi" w:hAnsiTheme="majorBidi" w:cstheme="majorBidi"/>
        </w:rPr>
        <w:t>, 181-186.</w:t>
      </w:r>
    </w:p>
    <w:p w14:paraId="343D88CB" w14:textId="77777777" w:rsidR="00DD06B3" w:rsidRPr="001F2624" w:rsidRDefault="00DD06B3" w:rsidP="00ED690F">
      <w:pPr>
        <w:spacing w:after="0" w:line="240" w:lineRule="auto"/>
        <w:ind w:left="567" w:hanging="567"/>
        <w:rPr>
          <w:rFonts w:asciiTheme="majorBidi" w:eastAsiaTheme="minorEastAsia" w:hAnsiTheme="majorBidi" w:cstheme="majorBidi"/>
        </w:rPr>
      </w:pPr>
      <w:r w:rsidRPr="001F2624">
        <w:rPr>
          <w:rFonts w:asciiTheme="majorBidi" w:eastAsiaTheme="minorEastAsia" w:hAnsiTheme="majorBidi" w:cstheme="majorBidi"/>
        </w:rPr>
        <w:t>Shehadeh,</w:t>
      </w:r>
      <w:r w:rsidR="00297367" w:rsidRPr="001F2624">
        <w:rPr>
          <w:rFonts w:asciiTheme="majorBidi" w:eastAsiaTheme="minorEastAsia" w:hAnsiTheme="majorBidi" w:cstheme="majorBidi"/>
        </w:rPr>
        <w:t xml:space="preserve"> A.</w:t>
      </w:r>
      <w:r w:rsidRPr="001F2624">
        <w:rPr>
          <w:rFonts w:asciiTheme="majorBidi" w:eastAsiaTheme="minorEastAsia" w:hAnsiTheme="majorBidi" w:cstheme="majorBidi"/>
        </w:rPr>
        <w:t xml:space="preserve"> </w:t>
      </w:r>
      <w:r w:rsidR="00297367" w:rsidRPr="001F2624">
        <w:rPr>
          <w:rFonts w:asciiTheme="majorBidi" w:eastAsiaTheme="minorEastAsia" w:hAnsiTheme="majorBidi" w:cstheme="majorBidi"/>
        </w:rPr>
        <w:t>(</w:t>
      </w:r>
      <w:r w:rsidRPr="001F2624">
        <w:rPr>
          <w:rFonts w:asciiTheme="majorBidi" w:eastAsiaTheme="minorEastAsia" w:hAnsiTheme="majorBidi" w:cstheme="majorBidi"/>
        </w:rPr>
        <w:t>2018</w:t>
      </w:r>
      <w:r w:rsidR="00297367" w:rsidRPr="001F2624">
        <w:rPr>
          <w:rFonts w:asciiTheme="majorBidi" w:eastAsiaTheme="minorEastAsia" w:hAnsiTheme="majorBidi" w:cstheme="majorBidi"/>
        </w:rPr>
        <w:t xml:space="preserve">). </w:t>
      </w:r>
      <w:r w:rsidR="00BD1899" w:rsidRPr="001F2624">
        <w:rPr>
          <w:rFonts w:asciiTheme="majorBidi" w:eastAsiaTheme="minorEastAsia" w:hAnsiTheme="majorBidi" w:cstheme="majorBidi"/>
        </w:rPr>
        <w:t xml:space="preserve">Foreword: New frontiers in task-based language teaching research. In M. J. Ahmadian &amp; M. P. Gatcia Mayo (Eds.), </w:t>
      </w:r>
      <w:r w:rsidR="00BD1899" w:rsidRPr="001F2624">
        <w:rPr>
          <w:rFonts w:asciiTheme="majorBidi" w:eastAsiaTheme="minorEastAsia" w:hAnsiTheme="majorBidi" w:cstheme="majorBidi"/>
          <w:i/>
          <w:iCs/>
        </w:rPr>
        <w:t>Recent perspectives on task-based language learning and teaching</w:t>
      </w:r>
      <w:r w:rsidR="00BD1899" w:rsidRPr="001F2624">
        <w:rPr>
          <w:rFonts w:asciiTheme="majorBidi" w:eastAsiaTheme="minorEastAsia" w:hAnsiTheme="majorBidi" w:cstheme="majorBidi"/>
        </w:rPr>
        <w:t xml:space="preserve"> (pp. vii-xxi). Berlin: Walter de Gruyter Inc.</w:t>
      </w:r>
    </w:p>
    <w:p w14:paraId="37B5A857" w14:textId="77777777" w:rsidR="00DD06B3" w:rsidRPr="001F2624" w:rsidRDefault="004F2714" w:rsidP="00ED690F">
      <w:pPr>
        <w:spacing w:after="0" w:line="240" w:lineRule="auto"/>
        <w:ind w:left="567" w:hanging="567"/>
        <w:rPr>
          <w:rFonts w:asciiTheme="majorBidi" w:eastAsiaTheme="minorEastAsia" w:hAnsiTheme="majorBidi" w:cstheme="majorBidi"/>
        </w:rPr>
      </w:pPr>
      <w:r w:rsidRPr="001F2624">
        <w:rPr>
          <w:rFonts w:asciiTheme="majorBidi" w:eastAsiaTheme="minorEastAsia" w:hAnsiTheme="majorBidi" w:cstheme="majorBidi"/>
        </w:rPr>
        <w:t xml:space="preserve">Skehan, P., </w:t>
      </w:r>
      <w:r w:rsidR="00DD06B3" w:rsidRPr="001F2624">
        <w:rPr>
          <w:rFonts w:asciiTheme="majorBidi" w:eastAsiaTheme="minorEastAsia" w:hAnsiTheme="majorBidi" w:cstheme="majorBidi"/>
        </w:rPr>
        <w:t>&amp; Foster,</w:t>
      </w:r>
      <w:r w:rsidRPr="001F2624">
        <w:rPr>
          <w:rFonts w:asciiTheme="majorBidi" w:eastAsiaTheme="minorEastAsia" w:hAnsiTheme="majorBidi" w:cstheme="majorBidi"/>
        </w:rPr>
        <w:t xml:space="preserve"> P.</w:t>
      </w:r>
      <w:r w:rsidR="00BD1899" w:rsidRPr="001F2624">
        <w:rPr>
          <w:rFonts w:asciiTheme="majorBidi" w:eastAsiaTheme="minorEastAsia" w:hAnsiTheme="majorBidi" w:cstheme="majorBidi"/>
        </w:rPr>
        <w:t xml:space="preserve"> </w:t>
      </w:r>
      <w:r w:rsidRPr="001F2624">
        <w:rPr>
          <w:rFonts w:asciiTheme="majorBidi" w:eastAsiaTheme="minorEastAsia" w:hAnsiTheme="majorBidi" w:cstheme="majorBidi"/>
        </w:rPr>
        <w:t>(</w:t>
      </w:r>
      <w:r w:rsidR="00DD06B3" w:rsidRPr="001F2624">
        <w:rPr>
          <w:rFonts w:asciiTheme="majorBidi" w:eastAsiaTheme="minorEastAsia" w:hAnsiTheme="majorBidi" w:cstheme="majorBidi"/>
        </w:rPr>
        <w:t>1999</w:t>
      </w:r>
      <w:r w:rsidRPr="001F2624">
        <w:rPr>
          <w:rFonts w:asciiTheme="majorBidi" w:eastAsiaTheme="minorEastAsia" w:hAnsiTheme="majorBidi" w:cstheme="majorBidi"/>
        </w:rPr>
        <w:t xml:space="preserve">). The influence of task structure and processing conditions on narrative retellings. </w:t>
      </w:r>
      <w:r w:rsidRPr="001F2624">
        <w:rPr>
          <w:rFonts w:asciiTheme="majorBidi" w:eastAsiaTheme="minorEastAsia" w:hAnsiTheme="majorBidi" w:cstheme="majorBidi"/>
          <w:i/>
          <w:iCs/>
        </w:rPr>
        <w:t>Language Learning, 49</w:t>
      </w:r>
      <w:r w:rsidRPr="001F2624">
        <w:rPr>
          <w:rFonts w:asciiTheme="majorBidi" w:eastAsiaTheme="minorEastAsia" w:hAnsiTheme="majorBidi" w:cstheme="majorBidi"/>
        </w:rPr>
        <w:t>, 93-120.</w:t>
      </w:r>
    </w:p>
    <w:p w14:paraId="4F07EE37" w14:textId="77777777" w:rsidR="00DD06B3" w:rsidRPr="001F2624" w:rsidRDefault="00DD06B3" w:rsidP="00ED690F">
      <w:pPr>
        <w:autoSpaceDE w:val="0"/>
        <w:autoSpaceDN w:val="0"/>
        <w:adjustRightInd w:val="0"/>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Thompson, I., &amp; Rubin, J. (1996). Can strategy instruction improve listening comprehension? </w:t>
      </w:r>
      <w:r w:rsidRPr="001F2624">
        <w:rPr>
          <w:rFonts w:asciiTheme="majorBidi" w:hAnsiTheme="majorBidi" w:cstheme="majorBidi"/>
          <w:i/>
          <w:iCs/>
        </w:rPr>
        <w:t>Foreign Language Annals</w:t>
      </w:r>
      <w:r w:rsidRPr="001F2624">
        <w:rPr>
          <w:rFonts w:asciiTheme="majorBidi" w:hAnsiTheme="majorBidi" w:cstheme="majorBidi"/>
        </w:rPr>
        <w:t xml:space="preserve">, </w:t>
      </w:r>
      <w:r w:rsidRPr="001F2624">
        <w:rPr>
          <w:rFonts w:asciiTheme="majorBidi" w:hAnsiTheme="majorBidi" w:cstheme="majorBidi"/>
          <w:i/>
          <w:iCs/>
        </w:rPr>
        <w:t>29</w:t>
      </w:r>
      <w:r w:rsidR="001C6FD7" w:rsidRPr="001F2624">
        <w:rPr>
          <w:rFonts w:asciiTheme="majorBidi" w:hAnsiTheme="majorBidi" w:cstheme="majorBidi"/>
        </w:rPr>
        <w:t>(3), 331-</w:t>
      </w:r>
      <w:r w:rsidRPr="001F2624">
        <w:rPr>
          <w:rFonts w:asciiTheme="majorBidi" w:hAnsiTheme="majorBidi" w:cstheme="majorBidi"/>
        </w:rPr>
        <w:t>342.</w:t>
      </w:r>
    </w:p>
    <w:p w14:paraId="7E4AA14C" w14:textId="77777777" w:rsidR="00DD06B3" w:rsidRPr="001F2624" w:rsidRDefault="00DD06B3" w:rsidP="00ED690F">
      <w:pPr>
        <w:spacing w:after="0" w:line="240" w:lineRule="auto"/>
        <w:ind w:left="567" w:hanging="567"/>
        <w:jc w:val="both"/>
        <w:rPr>
          <w:rFonts w:asciiTheme="majorBidi" w:hAnsiTheme="majorBidi" w:cstheme="majorBidi"/>
          <w:shd w:val="clear" w:color="auto" w:fill="FFFFFF"/>
        </w:rPr>
      </w:pPr>
      <w:r w:rsidRPr="001F2624">
        <w:rPr>
          <w:rFonts w:asciiTheme="majorBidi" w:hAnsiTheme="majorBidi" w:cstheme="majorBidi"/>
        </w:rPr>
        <w:t xml:space="preserve">Vandergrift, L. (2003). Orchestrating strategy use: Toward a model of the skilled second language listener. </w:t>
      </w:r>
      <w:r w:rsidRPr="001F2624">
        <w:rPr>
          <w:rFonts w:asciiTheme="majorBidi" w:hAnsiTheme="majorBidi" w:cstheme="majorBidi"/>
          <w:i/>
          <w:iCs/>
        </w:rPr>
        <w:t>Language Learning, 53</w:t>
      </w:r>
      <w:r w:rsidRPr="001F2624">
        <w:rPr>
          <w:rFonts w:asciiTheme="majorBidi" w:hAnsiTheme="majorBidi" w:cstheme="majorBidi"/>
        </w:rPr>
        <w:t>(3), 463-496.</w:t>
      </w:r>
    </w:p>
    <w:p w14:paraId="101AE157"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Vandergrift, L. (2004). Learning to listen or listening to learn? </w:t>
      </w:r>
      <w:r w:rsidRPr="001F2624">
        <w:rPr>
          <w:rFonts w:asciiTheme="majorBidi" w:hAnsiTheme="majorBidi" w:cstheme="majorBidi"/>
          <w:i/>
          <w:iCs/>
        </w:rPr>
        <w:t>Annual Review of Applied Linguistics, 24</w:t>
      </w:r>
      <w:r w:rsidRPr="001F2624">
        <w:rPr>
          <w:rFonts w:asciiTheme="majorBidi" w:hAnsiTheme="majorBidi" w:cstheme="majorBidi"/>
        </w:rPr>
        <w:t>, 3-25.</w:t>
      </w:r>
    </w:p>
    <w:p w14:paraId="72437C7A"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Vandegrift, L., &amp; Goh, C. (2012). </w:t>
      </w:r>
      <w:r w:rsidRPr="001F2624">
        <w:rPr>
          <w:rFonts w:asciiTheme="majorBidi" w:hAnsiTheme="majorBidi" w:cstheme="majorBidi"/>
          <w:i/>
          <w:iCs/>
        </w:rPr>
        <w:t>Teaching and learning second language listening: Metacognition in action</w:t>
      </w:r>
      <w:r w:rsidRPr="001F2624">
        <w:rPr>
          <w:rFonts w:asciiTheme="majorBidi" w:hAnsiTheme="majorBidi" w:cstheme="majorBidi"/>
        </w:rPr>
        <w:t>. New York: Routledge.</w:t>
      </w:r>
    </w:p>
    <w:p w14:paraId="220B452A"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Vandergrift, L., Goh, C. C. M., Mareschal, C. &amp;Tafaghodtari, M. H. (2006). The metacognitive awareness listening questionnaire: </w:t>
      </w:r>
      <w:r w:rsidRPr="001F2624">
        <w:rPr>
          <w:rFonts w:asciiTheme="majorBidi" w:hAnsiTheme="majorBidi" w:cstheme="majorBidi"/>
          <w:i/>
          <w:iCs/>
        </w:rPr>
        <w:t>Development and validation. 56</w:t>
      </w:r>
      <w:r w:rsidRPr="001F2624">
        <w:rPr>
          <w:rFonts w:asciiTheme="majorBidi" w:hAnsiTheme="majorBidi" w:cstheme="majorBidi"/>
        </w:rPr>
        <w:t>(3), 431-462.</w:t>
      </w:r>
    </w:p>
    <w:p w14:paraId="25692504"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lang w:val="de-DE"/>
        </w:rPr>
        <w:t xml:space="preserve">Vandergrift, L., &amp;Tafaghodtari, M. Z. (2010). </w:t>
      </w:r>
      <w:r w:rsidRPr="001F2624">
        <w:rPr>
          <w:rFonts w:asciiTheme="majorBidi" w:hAnsiTheme="majorBidi" w:cstheme="majorBidi"/>
        </w:rPr>
        <w:t xml:space="preserve">Teaching L2 learners how to listen does make a difference: An empirical study. </w:t>
      </w:r>
      <w:r w:rsidRPr="001F2624">
        <w:rPr>
          <w:rFonts w:asciiTheme="majorBidi" w:hAnsiTheme="majorBidi" w:cstheme="majorBidi"/>
          <w:i/>
          <w:iCs/>
        </w:rPr>
        <w:t>Language Learning, 60</w:t>
      </w:r>
      <w:r w:rsidRPr="001F2624">
        <w:rPr>
          <w:rFonts w:asciiTheme="majorBidi" w:hAnsiTheme="majorBidi" w:cstheme="majorBidi"/>
        </w:rPr>
        <w:t>(2), 470-479.</w:t>
      </w:r>
    </w:p>
    <w:p w14:paraId="4DBDCC3D" w14:textId="77777777" w:rsidR="00DD06B3" w:rsidRPr="001F2624" w:rsidRDefault="00DD06B3"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 xml:space="preserve">Wenden, A., </w:t>
      </w:r>
      <w:r w:rsidR="00407F59">
        <w:rPr>
          <w:rFonts w:asciiTheme="majorBidi" w:hAnsiTheme="majorBidi" w:cstheme="majorBidi"/>
        </w:rPr>
        <w:t>(</w:t>
      </w:r>
      <w:r w:rsidRPr="001F2624">
        <w:rPr>
          <w:rFonts w:asciiTheme="majorBidi" w:hAnsiTheme="majorBidi" w:cstheme="majorBidi"/>
        </w:rPr>
        <w:t>1998</w:t>
      </w:r>
      <w:r w:rsidR="00407F59">
        <w:rPr>
          <w:rFonts w:asciiTheme="majorBidi" w:hAnsiTheme="majorBidi" w:cstheme="majorBidi"/>
        </w:rPr>
        <w:t>)</w:t>
      </w:r>
      <w:r w:rsidRPr="001F2624">
        <w:rPr>
          <w:rFonts w:asciiTheme="majorBidi" w:hAnsiTheme="majorBidi" w:cstheme="majorBidi"/>
        </w:rPr>
        <w:t xml:space="preserve">. Metacognitive knowledge and language learning. </w:t>
      </w:r>
      <w:r w:rsidRPr="001F2624">
        <w:rPr>
          <w:rFonts w:asciiTheme="majorBidi" w:hAnsiTheme="majorBidi" w:cstheme="majorBidi"/>
          <w:i/>
          <w:iCs/>
        </w:rPr>
        <w:t>Applied Linguistics, 19</w:t>
      </w:r>
      <w:r w:rsidRPr="001F2624">
        <w:rPr>
          <w:rFonts w:asciiTheme="majorBidi" w:hAnsiTheme="majorBidi" w:cstheme="majorBidi"/>
        </w:rPr>
        <w:t>(4), 515-537.</w:t>
      </w:r>
    </w:p>
    <w:p w14:paraId="05512C6F" w14:textId="77777777" w:rsidR="001C6FD7" w:rsidRPr="001F2624" w:rsidRDefault="001C6FD7" w:rsidP="00ED690F">
      <w:pPr>
        <w:spacing w:after="0" w:line="240" w:lineRule="auto"/>
        <w:ind w:left="567" w:hanging="567"/>
        <w:jc w:val="both"/>
        <w:rPr>
          <w:rFonts w:asciiTheme="majorBidi" w:hAnsiTheme="majorBidi" w:cstheme="majorBidi"/>
        </w:rPr>
      </w:pPr>
      <w:r w:rsidRPr="001F2624">
        <w:rPr>
          <w:rFonts w:asciiTheme="majorBidi" w:hAnsiTheme="majorBidi" w:cstheme="majorBidi"/>
        </w:rPr>
        <w:t>Widdowson, H. (1998). Skills, abilities, and contexts of reality. Annual Review of Applied Linguistics, 18, 323-333.</w:t>
      </w:r>
    </w:p>
    <w:p w14:paraId="162263DC" w14:textId="77777777" w:rsidR="009037E3" w:rsidRPr="001F2624" w:rsidRDefault="001C6FD7" w:rsidP="00ED690F">
      <w:pPr>
        <w:autoSpaceDE w:val="0"/>
        <w:autoSpaceDN w:val="0"/>
        <w:adjustRightInd w:val="0"/>
        <w:spacing w:after="0" w:line="240" w:lineRule="auto"/>
        <w:ind w:left="426" w:hanging="426"/>
        <w:jc w:val="both"/>
        <w:rPr>
          <w:rFonts w:asciiTheme="majorBidi" w:hAnsiTheme="majorBidi" w:cstheme="majorBidi"/>
        </w:rPr>
      </w:pPr>
      <w:r w:rsidRPr="001F2624">
        <w:rPr>
          <w:rFonts w:asciiTheme="majorBidi" w:hAnsiTheme="majorBidi" w:cstheme="majorBidi"/>
        </w:rPr>
        <w:t xml:space="preserve">Zimmerman, B. J., &amp; Schunk, D. H. (2011). Self-regulated learning and performance: An introduction and an overview. In B. J. Zimmerman, &amp; D. H. Schunk (Eds.), </w:t>
      </w:r>
      <w:r w:rsidRPr="001F2624">
        <w:rPr>
          <w:rFonts w:asciiTheme="majorBidi" w:hAnsiTheme="majorBidi" w:cstheme="majorBidi"/>
          <w:i/>
          <w:iCs/>
        </w:rPr>
        <w:t xml:space="preserve">Handbook of </w:t>
      </w:r>
      <w:r w:rsidR="009B433F" w:rsidRPr="001F2624">
        <w:rPr>
          <w:rFonts w:asciiTheme="majorBidi" w:hAnsiTheme="majorBidi" w:cstheme="majorBidi"/>
          <w:i/>
          <w:iCs/>
        </w:rPr>
        <w:t>self</w:t>
      </w:r>
      <w:r w:rsidRPr="001F2624">
        <w:rPr>
          <w:rFonts w:asciiTheme="majorBidi" w:hAnsiTheme="majorBidi" w:cstheme="majorBidi"/>
          <w:i/>
          <w:iCs/>
        </w:rPr>
        <w:t>-regulation of learning and performance</w:t>
      </w:r>
      <w:r w:rsidRPr="001F2624">
        <w:rPr>
          <w:rFonts w:asciiTheme="majorBidi" w:hAnsiTheme="majorBidi" w:cstheme="majorBidi"/>
        </w:rPr>
        <w:t xml:space="preserve"> (pp.1-12). New York: Routledge.</w:t>
      </w:r>
    </w:p>
    <w:sectPr w:rsidR="009037E3" w:rsidRPr="001F2624" w:rsidSect="00ED690F">
      <w:headerReference w:type="default" r:id="rId11"/>
      <w:footerReference w:type="default" r:id="rId12"/>
      <w:pgSz w:w="11907" w:h="16839" w:code="9"/>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CE81D" w14:textId="77777777" w:rsidR="001518F7" w:rsidRDefault="001518F7" w:rsidP="002D17E1">
      <w:pPr>
        <w:spacing w:after="0" w:line="240" w:lineRule="auto"/>
      </w:pPr>
      <w:r>
        <w:separator/>
      </w:r>
    </w:p>
  </w:endnote>
  <w:endnote w:type="continuationSeparator" w:id="0">
    <w:p w14:paraId="30F0F260" w14:textId="77777777" w:rsidR="001518F7" w:rsidRDefault="001518F7"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33883"/>
      <w:docPartObj>
        <w:docPartGallery w:val="Page Numbers (Bottom of Page)"/>
        <w:docPartUnique/>
      </w:docPartObj>
    </w:sdtPr>
    <w:sdtEndPr>
      <w:rPr>
        <w:noProof/>
      </w:rPr>
    </w:sdtEndPr>
    <w:sdtContent>
      <w:p w14:paraId="44B93150" w14:textId="5F5FD42B" w:rsidR="00ED690F" w:rsidRDefault="00ED690F">
        <w:pPr>
          <w:pStyle w:val="Footer"/>
          <w:jc w:val="center"/>
        </w:pPr>
        <w:r>
          <w:fldChar w:fldCharType="begin"/>
        </w:r>
        <w:r>
          <w:instrText xml:space="preserve"> PAGE   \* MERGEFORMAT </w:instrText>
        </w:r>
        <w:r>
          <w:fldChar w:fldCharType="separate"/>
        </w:r>
        <w:r>
          <w:rPr>
            <w:noProof/>
          </w:rPr>
          <w:t>49</w:t>
        </w:r>
        <w:r>
          <w:rPr>
            <w:noProof/>
          </w:rPr>
          <w:fldChar w:fldCharType="end"/>
        </w:r>
      </w:p>
    </w:sdtContent>
  </w:sdt>
  <w:p w14:paraId="47CE2DCA" w14:textId="77777777" w:rsidR="009B433F" w:rsidRDefault="009B4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9998B" w14:textId="77777777" w:rsidR="001518F7" w:rsidRDefault="001518F7" w:rsidP="002D17E1">
      <w:pPr>
        <w:spacing w:after="0" w:line="240" w:lineRule="auto"/>
      </w:pPr>
      <w:r>
        <w:separator/>
      </w:r>
    </w:p>
  </w:footnote>
  <w:footnote w:type="continuationSeparator" w:id="0">
    <w:p w14:paraId="101B1B8D" w14:textId="77777777" w:rsidR="001518F7" w:rsidRDefault="001518F7" w:rsidP="002D17E1">
      <w:pPr>
        <w:spacing w:after="0" w:line="240" w:lineRule="auto"/>
      </w:pPr>
      <w:r>
        <w:continuationSeparator/>
      </w:r>
    </w:p>
  </w:footnote>
  <w:footnote w:id="1">
    <w:p w14:paraId="3B475B8E" w14:textId="77777777" w:rsidR="00D613E8" w:rsidRPr="00D613E8" w:rsidRDefault="00D613E8" w:rsidP="00D613E8">
      <w:pPr>
        <w:spacing w:line="200" w:lineRule="atLeast"/>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PhD student of TEFL, </w:t>
      </w:r>
      <w:hyperlink r:id="rId1" w:history="1">
        <w:r w:rsidRPr="00D613E8">
          <w:rPr>
            <w:rStyle w:val="Hyperlink"/>
            <w:rFonts w:asciiTheme="majorBidi" w:hAnsiTheme="majorBidi" w:cstheme="majorBidi"/>
            <w:sz w:val="20"/>
            <w:szCs w:val="20"/>
          </w:rPr>
          <w:t>Parisa.mohamadpour@gmail.com</w:t>
        </w:r>
      </w:hyperlink>
      <w:r w:rsidRPr="00D613E8">
        <w:rPr>
          <w:rFonts w:asciiTheme="majorBidi" w:hAnsiTheme="majorBidi" w:cstheme="majorBidi"/>
          <w:sz w:val="20"/>
          <w:szCs w:val="20"/>
        </w:rPr>
        <w:t>; Department of English Language, Science and Research Branch, Islamic Azad University, Tehran, Iran</w:t>
      </w:r>
      <w:r w:rsidRPr="00D613E8">
        <w:rPr>
          <w:rFonts w:asciiTheme="majorBidi" w:eastAsia="Times New Roman" w:hAnsiTheme="majorBidi" w:cstheme="majorBidi"/>
          <w:color w:val="333333"/>
          <w:sz w:val="20"/>
          <w:szCs w:val="20"/>
        </w:rPr>
        <w:t>,</w:t>
      </w:r>
    </w:p>
  </w:footnote>
  <w:footnote w:id="2">
    <w:p w14:paraId="3B901D8B" w14:textId="77777777" w:rsidR="00D613E8" w:rsidRPr="00D613E8" w:rsidRDefault="00D613E8" w:rsidP="00D613E8">
      <w:pPr>
        <w:spacing w:line="200" w:lineRule="atLeast"/>
        <w:rPr>
          <w:rFonts w:asciiTheme="majorBidi" w:hAnsiTheme="majorBidi" w:cstheme="majorBidi"/>
          <w:sz w:val="20"/>
          <w:szCs w:val="20"/>
        </w:rPr>
      </w:pPr>
      <w:r w:rsidRPr="00D613E8">
        <w:rPr>
          <w:rFonts w:asciiTheme="majorBidi" w:hAnsiTheme="majorBidi" w:cstheme="majorBidi"/>
          <w:sz w:val="20"/>
          <w:szCs w:val="20"/>
        </w:rPr>
        <w:footnoteRef/>
      </w:r>
      <w:r w:rsidRPr="00D613E8">
        <w:rPr>
          <w:rFonts w:asciiTheme="majorBidi" w:hAnsiTheme="majorBidi" w:cstheme="majorBidi"/>
          <w:sz w:val="20"/>
          <w:szCs w:val="20"/>
        </w:rPr>
        <w:t xml:space="preserve"> Associate professor, </w:t>
      </w:r>
      <w:hyperlink r:id="rId2" w:history="1">
        <w:r w:rsidRPr="00D613E8">
          <w:rPr>
            <w:rStyle w:val="Hyperlink"/>
            <w:rFonts w:asciiTheme="majorBidi" w:hAnsiTheme="majorBidi" w:cstheme="majorBidi"/>
            <w:sz w:val="20"/>
            <w:szCs w:val="20"/>
          </w:rPr>
          <w:t>mrezatalebinejad@gmail.com</w:t>
        </w:r>
      </w:hyperlink>
      <w:r w:rsidRPr="00D613E8">
        <w:rPr>
          <w:rFonts w:asciiTheme="majorBidi" w:hAnsiTheme="majorBidi" w:cstheme="majorBidi"/>
          <w:sz w:val="20"/>
          <w:szCs w:val="20"/>
        </w:rPr>
        <w:t>; Department of English Language, Shahreza Branch, Islamic Azad University, Shahreza, Iran</w:t>
      </w:r>
    </w:p>
  </w:footnote>
  <w:footnote w:id="3">
    <w:p w14:paraId="22CA37DD" w14:textId="77777777" w:rsidR="00D613E8" w:rsidRPr="00D613E8" w:rsidRDefault="00D613E8" w:rsidP="00D613E8">
      <w:pPr>
        <w:spacing w:line="200" w:lineRule="atLeast"/>
        <w:rPr>
          <w:rFonts w:asciiTheme="majorBidi" w:hAnsiTheme="majorBidi" w:cstheme="majorBidi"/>
          <w:sz w:val="20"/>
          <w:szCs w:val="20"/>
        </w:rPr>
      </w:pPr>
      <w:r w:rsidRPr="00D613E8">
        <w:rPr>
          <w:rFonts w:asciiTheme="majorBidi" w:hAnsiTheme="majorBidi" w:cstheme="majorBidi"/>
          <w:sz w:val="20"/>
          <w:szCs w:val="20"/>
        </w:rPr>
        <w:footnoteRef/>
      </w:r>
      <w:r w:rsidRPr="00D613E8">
        <w:rPr>
          <w:rFonts w:asciiTheme="majorBidi" w:hAnsiTheme="majorBidi" w:cstheme="majorBidi"/>
          <w:sz w:val="20"/>
          <w:szCs w:val="20"/>
        </w:rPr>
        <w:t xml:space="preserve"> Associate professor, </w:t>
      </w:r>
      <w:hyperlink r:id="rId3" w:history="1">
        <w:r w:rsidRPr="00D613E8">
          <w:rPr>
            <w:rStyle w:val="Hyperlink"/>
            <w:rFonts w:asciiTheme="majorBidi" w:hAnsiTheme="majorBidi" w:cstheme="majorBidi"/>
            <w:sz w:val="20"/>
            <w:szCs w:val="20"/>
          </w:rPr>
          <w:t>tabatabaeiomid@yahoo.com</w:t>
        </w:r>
      </w:hyperlink>
      <w:r w:rsidRPr="00D613E8">
        <w:rPr>
          <w:rFonts w:asciiTheme="majorBidi" w:hAnsiTheme="majorBidi" w:cstheme="majorBidi"/>
          <w:sz w:val="20"/>
          <w:szCs w:val="20"/>
        </w:rPr>
        <w:t>; Department of English Language, Najafabad Branch, Islamic Azad University, Najafabad,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8B756" w14:textId="77777777" w:rsidR="00D613E8" w:rsidRDefault="00D613E8"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14:paraId="5D3E456B" w14:textId="77777777" w:rsidR="00D613E8" w:rsidRPr="003A7F92" w:rsidRDefault="00D613E8" w:rsidP="00D613E8">
    <w:pPr>
      <w:pStyle w:val="Header"/>
      <w:jc w:val="center"/>
      <w:rPr>
        <w:rFonts w:asciiTheme="majorBidi" w:hAnsiTheme="majorBidi" w:cstheme="majorBidi"/>
        <w:b/>
        <w:bCs/>
      </w:rPr>
    </w:pPr>
  </w:p>
  <w:p w14:paraId="38F9F848" w14:textId="77777777" w:rsidR="00D613E8" w:rsidRDefault="00D613E8" w:rsidP="00D613E8">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r w:rsidRPr="003A7F92">
      <w:rPr>
        <w:rFonts w:asciiTheme="majorBidi" w:hAnsiTheme="majorBidi" w:cstheme="majorBidi"/>
      </w:rPr>
      <w:t xml:space="preserve"> </w:t>
    </w:r>
  </w:p>
  <w:p w14:paraId="68B6B6E6" w14:textId="77777777" w:rsidR="00D613E8" w:rsidRDefault="00D613E8" w:rsidP="00D613E8">
    <w:pPr>
      <w:pStyle w:val="Header"/>
      <w:rPr>
        <w:rFonts w:asciiTheme="majorBidi" w:hAnsiTheme="majorBidi" w:cstheme="majorBidi"/>
        <w:sz w:val="18"/>
        <w:szCs w:val="18"/>
      </w:rPr>
    </w:pPr>
    <w:r w:rsidRPr="00437DF4">
      <w:rPr>
        <w:rFonts w:asciiTheme="majorBidi" w:hAnsiTheme="majorBidi" w:cstheme="majorBidi"/>
        <w:sz w:val="18"/>
        <w:szCs w:val="18"/>
      </w:rPr>
      <w:t xml:space="preserve">IJEAP, (2017) </w:t>
    </w:r>
    <w:r>
      <w:rPr>
        <w:rFonts w:asciiTheme="majorBidi" w:hAnsiTheme="majorBidi" w:cstheme="majorBidi"/>
        <w:sz w:val="18"/>
        <w:szCs w:val="18"/>
      </w:rPr>
      <w:t>V</w:t>
    </w:r>
    <w:r w:rsidRPr="00437DF4">
      <w:rPr>
        <w:rFonts w:asciiTheme="majorBidi" w:hAnsiTheme="majorBidi" w:cstheme="majorBidi"/>
        <w:sz w:val="18"/>
        <w:szCs w:val="18"/>
      </w:rPr>
      <w:t xml:space="preserve">ol. 6 </w:t>
    </w:r>
    <w:r>
      <w:rPr>
        <w:rFonts w:asciiTheme="majorBidi" w:hAnsiTheme="majorBidi" w:cstheme="majorBidi"/>
        <w:sz w:val="18"/>
        <w:szCs w:val="18"/>
      </w:rPr>
      <w:t>I</w:t>
    </w:r>
    <w:r w:rsidRPr="00437DF4">
      <w:rPr>
        <w:rFonts w:asciiTheme="majorBidi" w:hAnsiTheme="majorBidi" w:cstheme="majorBidi"/>
        <w:sz w:val="18"/>
        <w:szCs w:val="18"/>
      </w:rPr>
      <w:t>ssue. 2</w:t>
    </w:r>
    <w:r>
      <w:rPr>
        <w:rFonts w:asciiTheme="majorBidi" w:hAnsiTheme="majorBidi" w:cstheme="majorBidi"/>
        <w:sz w:val="18"/>
        <w:szCs w:val="18"/>
      </w:rPr>
      <w:tab/>
    </w:r>
    <w:r>
      <w:rPr>
        <w:rFonts w:asciiTheme="majorBidi" w:hAnsiTheme="majorBidi" w:cstheme="majorBidi"/>
        <w:sz w:val="18"/>
        <w:szCs w:val="18"/>
      </w:rPr>
      <w:tab/>
      <w:t>(</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14:paraId="4493801A" w14:textId="77777777" w:rsidR="00D613E8" w:rsidRDefault="00D613E8"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C8A"/>
    <w:rsid w:val="00011B42"/>
    <w:rsid w:val="000169F0"/>
    <w:rsid w:val="00024CF3"/>
    <w:rsid w:val="00045262"/>
    <w:rsid w:val="00051E19"/>
    <w:rsid w:val="00080BDC"/>
    <w:rsid w:val="00082252"/>
    <w:rsid w:val="0008472C"/>
    <w:rsid w:val="00087EFC"/>
    <w:rsid w:val="000A0FD7"/>
    <w:rsid w:val="000A5787"/>
    <w:rsid w:val="000B41D6"/>
    <w:rsid w:val="000C05E1"/>
    <w:rsid w:val="000D4104"/>
    <w:rsid w:val="000F125A"/>
    <w:rsid w:val="000F362D"/>
    <w:rsid w:val="0010085C"/>
    <w:rsid w:val="00103F4B"/>
    <w:rsid w:val="00115D03"/>
    <w:rsid w:val="00136D29"/>
    <w:rsid w:val="00142372"/>
    <w:rsid w:val="00146F6B"/>
    <w:rsid w:val="001518F7"/>
    <w:rsid w:val="00151932"/>
    <w:rsid w:val="0018213D"/>
    <w:rsid w:val="00184A96"/>
    <w:rsid w:val="0019078C"/>
    <w:rsid w:val="001A18EF"/>
    <w:rsid w:val="001B3AA3"/>
    <w:rsid w:val="001C48D7"/>
    <w:rsid w:val="001C6FD7"/>
    <w:rsid w:val="001D2099"/>
    <w:rsid w:val="001D6CCC"/>
    <w:rsid w:val="001D7E39"/>
    <w:rsid w:val="001F1D4F"/>
    <w:rsid w:val="001F2624"/>
    <w:rsid w:val="001F2BB9"/>
    <w:rsid w:val="00205CFF"/>
    <w:rsid w:val="00206453"/>
    <w:rsid w:val="00220CBF"/>
    <w:rsid w:val="002241B3"/>
    <w:rsid w:val="00243FA6"/>
    <w:rsid w:val="0025137D"/>
    <w:rsid w:val="00273D9C"/>
    <w:rsid w:val="002828FC"/>
    <w:rsid w:val="00284C66"/>
    <w:rsid w:val="00293E57"/>
    <w:rsid w:val="00297367"/>
    <w:rsid w:val="002A428B"/>
    <w:rsid w:val="002B11C2"/>
    <w:rsid w:val="002C00FC"/>
    <w:rsid w:val="002D17E1"/>
    <w:rsid w:val="002D4B34"/>
    <w:rsid w:val="002E0A49"/>
    <w:rsid w:val="002E4077"/>
    <w:rsid w:val="002F0C07"/>
    <w:rsid w:val="002F1557"/>
    <w:rsid w:val="003117D6"/>
    <w:rsid w:val="00313652"/>
    <w:rsid w:val="003205B3"/>
    <w:rsid w:val="00330BFC"/>
    <w:rsid w:val="00333B8D"/>
    <w:rsid w:val="00355C8A"/>
    <w:rsid w:val="00361D11"/>
    <w:rsid w:val="00380E08"/>
    <w:rsid w:val="003973ED"/>
    <w:rsid w:val="003D10C3"/>
    <w:rsid w:val="003F01E1"/>
    <w:rsid w:val="003F29B9"/>
    <w:rsid w:val="004056AC"/>
    <w:rsid w:val="00407F59"/>
    <w:rsid w:val="004153C4"/>
    <w:rsid w:val="004260EA"/>
    <w:rsid w:val="00427189"/>
    <w:rsid w:val="00433622"/>
    <w:rsid w:val="004433ED"/>
    <w:rsid w:val="00446948"/>
    <w:rsid w:val="004474C7"/>
    <w:rsid w:val="004654B0"/>
    <w:rsid w:val="0046600A"/>
    <w:rsid w:val="00466FE1"/>
    <w:rsid w:val="00494CAF"/>
    <w:rsid w:val="004A0978"/>
    <w:rsid w:val="004A71CE"/>
    <w:rsid w:val="004B0613"/>
    <w:rsid w:val="004B77EC"/>
    <w:rsid w:val="004E20F3"/>
    <w:rsid w:val="004E2DB8"/>
    <w:rsid w:val="004E31C8"/>
    <w:rsid w:val="004E5762"/>
    <w:rsid w:val="004F1E8E"/>
    <w:rsid w:val="004F2714"/>
    <w:rsid w:val="0050016B"/>
    <w:rsid w:val="0050083E"/>
    <w:rsid w:val="00505D5C"/>
    <w:rsid w:val="00516FC2"/>
    <w:rsid w:val="00531DCF"/>
    <w:rsid w:val="00537C45"/>
    <w:rsid w:val="0054121A"/>
    <w:rsid w:val="00552202"/>
    <w:rsid w:val="00560B47"/>
    <w:rsid w:val="00571E81"/>
    <w:rsid w:val="00574D5A"/>
    <w:rsid w:val="00593E7D"/>
    <w:rsid w:val="00595A65"/>
    <w:rsid w:val="005A6F13"/>
    <w:rsid w:val="005A7525"/>
    <w:rsid w:val="005D1C18"/>
    <w:rsid w:val="005D7735"/>
    <w:rsid w:val="005E07B2"/>
    <w:rsid w:val="005E7EDB"/>
    <w:rsid w:val="00621DDE"/>
    <w:rsid w:val="0064130A"/>
    <w:rsid w:val="00671ECC"/>
    <w:rsid w:val="00675F8B"/>
    <w:rsid w:val="006777B1"/>
    <w:rsid w:val="006920AC"/>
    <w:rsid w:val="006A20D1"/>
    <w:rsid w:val="006A3015"/>
    <w:rsid w:val="006B1CC5"/>
    <w:rsid w:val="006B31C4"/>
    <w:rsid w:val="006D1541"/>
    <w:rsid w:val="006D4D14"/>
    <w:rsid w:val="006E29CA"/>
    <w:rsid w:val="006E6795"/>
    <w:rsid w:val="006F6CB7"/>
    <w:rsid w:val="00714655"/>
    <w:rsid w:val="00764AB0"/>
    <w:rsid w:val="00773293"/>
    <w:rsid w:val="00781F6A"/>
    <w:rsid w:val="00783A21"/>
    <w:rsid w:val="00790637"/>
    <w:rsid w:val="00796176"/>
    <w:rsid w:val="007A2B02"/>
    <w:rsid w:val="007A4CEC"/>
    <w:rsid w:val="007C2027"/>
    <w:rsid w:val="007E4C4F"/>
    <w:rsid w:val="00813F53"/>
    <w:rsid w:val="008253A5"/>
    <w:rsid w:val="00836135"/>
    <w:rsid w:val="00843311"/>
    <w:rsid w:val="00845E60"/>
    <w:rsid w:val="008618CD"/>
    <w:rsid w:val="00864779"/>
    <w:rsid w:val="008716DB"/>
    <w:rsid w:val="00883CAE"/>
    <w:rsid w:val="008957A0"/>
    <w:rsid w:val="008A6D88"/>
    <w:rsid w:val="008D20DB"/>
    <w:rsid w:val="009037E3"/>
    <w:rsid w:val="00911D66"/>
    <w:rsid w:val="009155B2"/>
    <w:rsid w:val="009345C5"/>
    <w:rsid w:val="00937B99"/>
    <w:rsid w:val="00954801"/>
    <w:rsid w:val="00976DC2"/>
    <w:rsid w:val="0098204C"/>
    <w:rsid w:val="00982530"/>
    <w:rsid w:val="009A4455"/>
    <w:rsid w:val="009B433F"/>
    <w:rsid w:val="009C050C"/>
    <w:rsid w:val="009C69A0"/>
    <w:rsid w:val="009C7261"/>
    <w:rsid w:val="009D00FE"/>
    <w:rsid w:val="009D1B76"/>
    <w:rsid w:val="009F39FB"/>
    <w:rsid w:val="00A226BD"/>
    <w:rsid w:val="00A236BA"/>
    <w:rsid w:val="00A27BBF"/>
    <w:rsid w:val="00A37BAF"/>
    <w:rsid w:val="00A4467C"/>
    <w:rsid w:val="00A44AB1"/>
    <w:rsid w:val="00A52E85"/>
    <w:rsid w:val="00A6387C"/>
    <w:rsid w:val="00A65DF7"/>
    <w:rsid w:val="00A70407"/>
    <w:rsid w:val="00A74947"/>
    <w:rsid w:val="00A75AC0"/>
    <w:rsid w:val="00A80D02"/>
    <w:rsid w:val="00A910F2"/>
    <w:rsid w:val="00AA32CC"/>
    <w:rsid w:val="00AA3793"/>
    <w:rsid w:val="00AC0363"/>
    <w:rsid w:val="00AE5161"/>
    <w:rsid w:val="00AE7EF9"/>
    <w:rsid w:val="00AF25EB"/>
    <w:rsid w:val="00B00524"/>
    <w:rsid w:val="00B026CD"/>
    <w:rsid w:val="00B10DA2"/>
    <w:rsid w:val="00B12DF4"/>
    <w:rsid w:val="00B17D47"/>
    <w:rsid w:val="00B474CA"/>
    <w:rsid w:val="00B5663F"/>
    <w:rsid w:val="00B907D3"/>
    <w:rsid w:val="00B90BFC"/>
    <w:rsid w:val="00BB2AC3"/>
    <w:rsid w:val="00BC2204"/>
    <w:rsid w:val="00BC5E33"/>
    <w:rsid w:val="00BD009E"/>
    <w:rsid w:val="00BD1899"/>
    <w:rsid w:val="00BD20F5"/>
    <w:rsid w:val="00BD2461"/>
    <w:rsid w:val="00BF532D"/>
    <w:rsid w:val="00C15861"/>
    <w:rsid w:val="00C17912"/>
    <w:rsid w:val="00C23D44"/>
    <w:rsid w:val="00C244BA"/>
    <w:rsid w:val="00C50B42"/>
    <w:rsid w:val="00C632F5"/>
    <w:rsid w:val="00C75F1E"/>
    <w:rsid w:val="00CA1CDE"/>
    <w:rsid w:val="00CA5FD5"/>
    <w:rsid w:val="00CB72EF"/>
    <w:rsid w:val="00CC4519"/>
    <w:rsid w:val="00CC4992"/>
    <w:rsid w:val="00CC7675"/>
    <w:rsid w:val="00CD4AC9"/>
    <w:rsid w:val="00CE19CE"/>
    <w:rsid w:val="00CE3814"/>
    <w:rsid w:val="00D00CD0"/>
    <w:rsid w:val="00D25175"/>
    <w:rsid w:val="00D366C6"/>
    <w:rsid w:val="00D613E8"/>
    <w:rsid w:val="00D65B7C"/>
    <w:rsid w:val="00D71E6C"/>
    <w:rsid w:val="00DB7232"/>
    <w:rsid w:val="00DB7FCA"/>
    <w:rsid w:val="00DC1F8B"/>
    <w:rsid w:val="00DC4CA8"/>
    <w:rsid w:val="00DC60B1"/>
    <w:rsid w:val="00DC7C00"/>
    <w:rsid w:val="00DD06B3"/>
    <w:rsid w:val="00DE284E"/>
    <w:rsid w:val="00DE4FB3"/>
    <w:rsid w:val="00DE6A78"/>
    <w:rsid w:val="00E058C3"/>
    <w:rsid w:val="00E13A88"/>
    <w:rsid w:val="00E16ADE"/>
    <w:rsid w:val="00E265B0"/>
    <w:rsid w:val="00E26C33"/>
    <w:rsid w:val="00E3325E"/>
    <w:rsid w:val="00E347DC"/>
    <w:rsid w:val="00E36406"/>
    <w:rsid w:val="00E40A73"/>
    <w:rsid w:val="00E43778"/>
    <w:rsid w:val="00E60DC6"/>
    <w:rsid w:val="00E8454E"/>
    <w:rsid w:val="00E85625"/>
    <w:rsid w:val="00E86AFD"/>
    <w:rsid w:val="00E94171"/>
    <w:rsid w:val="00E94C4A"/>
    <w:rsid w:val="00EB7A91"/>
    <w:rsid w:val="00EC0372"/>
    <w:rsid w:val="00ED690F"/>
    <w:rsid w:val="00EE4A21"/>
    <w:rsid w:val="00EE5804"/>
    <w:rsid w:val="00EF34DB"/>
    <w:rsid w:val="00F13784"/>
    <w:rsid w:val="00F20D4E"/>
    <w:rsid w:val="00F24367"/>
    <w:rsid w:val="00F27E1D"/>
    <w:rsid w:val="00F35E12"/>
    <w:rsid w:val="00F51F51"/>
    <w:rsid w:val="00F70464"/>
    <w:rsid w:val="00F93C15"/>
    <w:rsid w:val="00FA01C3"/>
    <w:rsid w:val="00FA27FC"/>
    <w:rsid w:val="00FA6DA7"/>
    <w:rsid w:val="00FB4F0A"/>
    <w:rsid w:val="00FB7E1C"/>
    <w:rsid w:val="00FC30B1"/>
    <w:rsid w:val="00FD6AC6"/>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1D990"/>
  <w15:docId w15:val="{9EC6C943-4FEA-48C2-A3E9-BAE33B17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ro.open.ac.uk/21243/"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tabatabaeiomid@yahoo.com" TargetMode="External"/><Relationship Id="rId2" Type="http://schemas.openxmlformats.org/officeDocument/2006/relationships/hyperlink" Target="mailto:mrezatalebinejad@gmail.com" TargetMode="External"/><Relationship Id="rId1" Type="http://schemas.openxmlformats.org/officeDocument/2006/relationships/hyperlink" Target="mailto:Parisa.mohamadpou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2834-B617-4D2C-9B49-974AA14A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8161</Words>
  <Characters>46518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REYNARD</dc:creator>
  <cp:lastModifiedBy>Windows User</cp:lastModifiedBy>
  <cp:revision>5</cp:revision>
  <cp:lastPrinted>2018-10-22T20:13:00Z</cp:lastPrinted>
  <dcterms:created xsi:type="dcterms:W3CDTF">2018-10-22T20:13:00Z</dcterms:created>
  <dcterms:modified xsi:type="dcterms:W3CDTF">2019-09-13T11:35:00Z</dcterms:modified>
</cp:coreProperties>
</file>